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Credit Reserve Model project</w:t>
      </w:r>
    </w:p>
    <w:p>
      <w:pPr>
        <w:pStyle w:val="BodyText"/>
        <w:rPr>
          <w:b/>
        </w:rPr>
      </w:pPr>
      <w:r>
        <w:rPr>
          <w:b/>
        </w:rPr>
      </w:r>
    </w:p>
    <w:p>
      <w:pPr>
        <w:pStyle w:val="BodyText"/>
        <w:rPr/>
      </w:pPr>
      <w:r>
        <w:rPr/>
        <w:t xml:space="preserve">The latest (02/07/00) testing results show that the difference between the to models is still significant.  Before we running next round parallel test, the following four problems must be solved:     </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b/>
          <w:color w:val="000000"/>
          <w:lang w:eastAsia="en-US"/>
        </w:rPr>
      </w:pPr>
      <w:r>
        <w:rPr>
          <w:rFonts w:cs="Arial" w:ascii="Arial" w:hAnsi="Arial"/>
          <w:b/>
          <w:color w:val="000000"/>
          <w:lang w:eastAsia="en-US"/>
        </w:rPr>
        <w:t>Problem 1.  The two models are loading different counter parties</w:t>
      </w:r>
    </w:p>
    <w:p>
      <w:pPr>
        <w:pStyle w:val="BodyTextIndent"/>
        <w:rPr/>
      </w:pPr>
      <w:r>
        <w:rPr/>
        <w:t xml:space="preserve">The new model misses about 500 counter parties out of about 1900.  Also, some counter parties chosen by the new model are not picked by the old model.  </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pPr>
      <w:r>
        <w:rPr>
          <w:rFonts w:cs="Arial" w:ascii="Arial" w:hAnsi="Arial"/>
          <w:color w:val="000000"/>
          <w:lang w:eastAsia="en-US"/>
        </w:rPr>
        <w:t xml:space="preserve">Since the two models use different Oracle tables (list below), we need </w:t>
      </w:r>
      <w:r>
        <w:rPr>
          <w:rFonts w:cs="Arial" w:ascii="Arial" w:hAnsi="Arial"/>
          <w:b/>
          <w:color w:val="000000"/>
          <w:lang w:eastAsia="en-US"/>
        </w:rPr>
        <w:t>1)</w:t>
      </w:r>
      <w:r>
        <w:rPr>
          <w:rFonts w:cs="Arial" w:ascii="Arial" w:hAnsi="Arial"/>
          <w:color w:val="000000"/>
          <w:lang w:eastAsia="en-US"/>
        </w:rPr>
        <w:t xml:space="preserve"> investigate the database(are those tables providing the same information?) and </w:t>
      </w:r>
      <w:r>
        <w:rPr>
          <w:rFonts w:cs="Arial" w:ascii="Arial" w:hAnsi="Arial"/>
          <w:b/>
          <w:color w:val="000000"/>
          <w:lang w:eastAsia="en-US"/>
        </w:rPr>
        <w:t>2)</w:t>
      </w:r>
      <w:r>
        <w:rPr>
          <w:rFonts w:cs="Arial" w:ascii="Arial" w:hAnsi="Arial"/>
          <w:color w:val="000000"/>
          <w:lang w:eastAsia="en-US"/>
        </w:rPr>
        <w:t xml:space="preserve"> investigate the new model (does the model pick up the data correctly, if the data is OK?).</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color w:val="000000"/>
          <w:lang w:eastAsia="en-US"/>
        </w:rPr>
      </w:pPr>
      <w:r>
        <w:rPr>
          <w:rFonts w:cs="Arial" w:ascii="Arial" w:hAnsi="Arial"/>
          <w:color w:val="000000"/>
          <w:lang w:eastAsia="en-US"/>
        </w:rPr>
        <w:t>Oracle table used in the two models:</w:t>
      </w:r>
    </w:p>
    <w:p>
      <w:pPr>
        <w:pStyle w:val="Normal"/>
        <w:ind w:start="360" w:end="0"/>
        <w:rPr>
          <w:rFonts w:ascii="Arial" w:hAnsi="Arial" w:cs="Arial"/>
          <w:color w:val="000000"/>
          <w:lang w:eastAsia="en-US"/>
        </w:rPr>
      </w:pPr>
      <w:r>
        <w:rPr>
          <w:rFonts w:cs="Arial" w:ascii="Arial" w:hAnsi="Arial"/>
          <w:color w:val="000000"/>
          <w:lang w:eastAsia="en-US"/>
        </w:rPr>
        <w:t>New model:  rms_deal_positions, rms_deal_reference_periods, rms_deal_legs</w:t>
      </w:r>
    </w:p>
    <w:p>
      <w:pPr>
        <w:pStyle w:val="Normal"/>
        <w:ind w:start="360" w:end="0"/>
        <w:rPr>
          <w:rFonts w:ascii="Arial" w:hAnsi="Arial" w:cs="Arial"/>
          <w:color w:val="000000"/>
          <w:lang w:eastAsia="en-US"/>
        </w:rPr>
      </w:pPr>
      <w:r>
        <w:rPr>
          <w:rFonts w:cs="Arial" w:ascii="Arial" w:hAnsi="Arial"/>
          <w:color w:val="000000"/>
          <w:lang w:eastAsia="en-US"/>
        </w:rPr>
        <w:t>Old model:  rms_open_position, egs_port_posn, egs_port_posn_opt</w:t>
      </w:r>
    </w:p>
    <w:p>
      <w:pPr>
        <w:pStyle w:val="Normal"/>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color w:val="000000"/>
          <w:lang w:eastAsia="en-US"/>
        </w:rPr>
      </w:pPr>
      <w:r>
        <w:rPr>
          <w:rFonts w:cs="Arial" w:ascii="Arial" w:hAnsi="Arial"/>
          <w:color w:val="000000"/>
          <w:lang w:eastAsia="en-US"/>
        </w:rPr>
        <w:t>Besides, even if we get the same counter parties for both models.  We doubt that there are more missing parts at a more detailed level in the database, like whether the deals and MTM values for the same CP are the same from the two different sets of table.</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color w:val="000000"/>
          <w:lang w:eastAsia="en-US"/>
        </w:rPr>
      </w:pPr>
      <w:r>
        <w:rPr>
          <w:rFonts w:cs="Arial" w:ascii="Arial" w:hAnsi="Arial"/>
          <w:color w:val="000000"/>
          <w:lang w:eastAsia="en-US"/>
        </w:rPr>
        <w:t xml:space="preserve">We need an IT people work full-timely on the database issue immediately. </w:t>
      </w:r>
    </w:p>
    <w:p>
      <w:pPr>
        <w:pStyle w:val="Normal"/>
        <w:ind w:start="360" w:end="0"/>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lang w:eastAsia="en-US"/>
        </w:rPr>
      </w:pPr>
      <w:r>
        <w:rPr>
          <w:rFonts w:cs="Arial" w:ascii="Arial" w:hAnsi="Arial"/>
          <w:b/>
          <w:color w:val="000000"/>
          <w:lang w:eastAsia="en-US"/>
        </w:rPr>
        <w:t xml:space="preserve">Problem 2.  Some individual count parties contribute significantly to the current differences between the two results </w:t>
      </w:r>
    </w:p>
    <w:p>
      <w:pPr>
        <w:pStyle w:val="BodyTextIndent"/>
        <w:rPr/>
      </w:pPr>
      <w:r>
        <w:rPr/>
        <w:t>One example is the “CANA NAT RES”.  The result from the new model is 34 million 3.5 Million from the old model.</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color w:val="000000"/>
          <w:lang w:eastAsia="en-US"/>
        </w:rPr>
      </w:pPr>
      <w:r>
        <w:rPr>
          <w:rFonts w:cs="Arial" w:ascii="Arial" w:hAnsi="Arial"/>
          <w:color w:val="000000"/>
          <w:lang w:eastAsia="en-US"/>
        </w:rPr>
        <w:t xml:space="preserve">The usual way to investigate it is to go to the debugger.  Specifically, we need to compare the inputs, default simulation, price simulation, netting, insurance process and report generating parts to locate which part is “terribly wrong”. </w:t>
      </w:r>
    </w:p>
    <w:p>
      <w:pPr>
        <w:pStyle w:val="Normal"/>
        <w:rPr>
          <w:rFonts w:ascii="Arial" w:hAnsi="Arial" w:eastAsia="Arial" w:cs="Arial"/>
          <w:color w:val="000000"/>
          <w:lang w:eastAsia="en-US"/>
        </w:rPr>
      </w:pPr>
      <w:r>
        <w:rPr>
          <w:rFonts w:eastAsia="Arial" w:cs="Arial" w:ascii="Arial" w:hAnsi="Arial"/>
          <w:color w:val="000000"/>
          <w:lang w:eastAsia="en-US"/>
        </w:rPr>
        <w:t xml:space="preserve"> </w:t>
      </w:r>
    </w:p>
    <w:p>
      <w:pPr>
        <w:pStyle w:val="Normal"/>
        <w:rPr>
          <w:rFonts w:ascii="Arial" w:hAnsi="Arial" w:cs="Arial"/>
          <w:b/>
          <w:color w:val="000000"/>
          <w:lang w:eastAsia="en-US"/>
        </w:rPr>
      </w:pPr>
      <w:r>
        <w:rPr>
          <w:rFonts w:cs="Arial" w:ascii="Arial" w:hAnsi="Arial"/>
          <w:b/>
          <w:color w:val="000000"/>
          <w:lang w:eastAsia="en-US"/>
        </w:rPr>
        <w:t>Problem 3.  Insurance project implementation</w:t>
      </w:r>
    </w:p>
    <w:p>
      <w:pPr>
        <w:pStyle w:val="Normal"/>
        <w:ind w:firstLine="360" w:end="0"/>
        <w:rPr/>
      </w:pPr>
      <w:r>
        <w:rPr>
          <w:sz w:val="24"/>
        </w:rPr>
        <w:t>It is still</w:t>
      </w:r>
      <w:r>
        <w:rPr>
          <w:b/>
        </w:rPr>
        <w:t xml:space="preserve"> </w:t>
      </w:r>
      <w:r>
        <w:rPr>
          <w:rFonts w:cs="Arial" w:ascii="Arial" w:hAnsi="Arial"/>
          <w:color w:val="000000"/>
          <w:lang w:eastAsia="en-US"/>
        </w:rPr>
        <w:t>in the development stage.</w:t>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b/>
          <w:color w:val="000000"/>
          <w:lang w:eastAsia="en-US"/>
        </w:rPr>
        <w:t>Problem 4.  Other technical issues</w:t>
      </w:r>
      <w:r>
        <w:rPr>
          <w:rFonts w:cs="Arial" w:ascii="Arial" w:hAnsi="Arial"/>
          <w:color w:val="000000"/>
          <w:lang w:eastAsia="en-US"/>
        </w:rPr>
        <w:t>.</w:t>
      </w:r>
    </w:p>
    <w:p>
      <w:pPr>
        <w:pStyle w:val="Normal"/>
        <w:ind w:start="360" w:end="0"/>
        <w:rPr>
          <w:rFonts w:ascii="Arial" w:hAnsi="Arial" w:cs="Arial"/>
          <w:color w:val="000000"/>
          <w:lang w:eastAsia="en-US"/>
        </w:rPr>
      </w:pPr>
      <w:r>
        <w:rPr>
          <w:rFonts w:cs="Arial" w:ascii="Arial" w:hAnsi="Arial"/>
          <w:color w:val="000000"/>
          <w:lang w:eastAsia="en-US"/>
        </w:rPr>
        <w:t>The IT group is rewriting the random number generator.  Other issues they’ve dealt with and fixed include multi-threads method, fixing incorrect initializations so on and so on.</w:t>
      </w:r>
    </w:p>
    <w:p>
      <w:pPr>
        <w:pStyle w:val="Normal"/>
        <w:ind w:firstLine="360" w:end="0"/>
        <w:rPr>
          <w:rFonts w:ascii="Arial" w:hAnsi="Arial" w:cs="Arial"/>
          <w:color w:val="000000"/>
          <w:lang w:eastAsia="en-US"/>
        </w:rPr>
      </w:pPr>
      <w:r>
        <w:rPr>
          <w:rFonts w:cs="Arial" w:ascii="Arial" w:hAnsi="Arial"/>
          <w:color w:val="000000"/>
          <w:lang w:eastAsia="en-US"/>
        </w:rPr>
      </w:r>
    </w:p>
    <w:p>
      <w:pPr>
        <w:pStyle w:val="Normal"/>
        <w:ind w:firstLine="360" w:end="0"/>
        <w:rPr>
          <w:rFonts w:ascii="Arial" w:hAnsi="Arial" w:cs="Arial"/>
          <w:color w:val="000000"/>
          <w:lang w:eastAsia="en-US"/>
        </w:rPr>
      </w:pPr>
      <w:r>
        <w:rPr>
          <w:rFonts w:cs="Arial" w:ascii="Arial" w:hAnsi="Arial"/>
          <w:color w:val="000000"/>
          <w:lang w:eastAsia="en-US"/>
        </w:rPr>
      </w:r>
    </w:p>
    <w:p>
      <w:pPr>
        <w:pStyle w:val="BodyText"/>
        <w:rPr/>
      </w:pPr>
      <w:r>
        <w:rPr/>
        <w:t>According to the current status, the new Credit Reserve Model is still in the developing and debugging stage.  It is too early to require a less-than-3% error in the parallel tests.  Indeed, it is uncertain when we could REALLY begin any serious test.  A bottleneck of the slow process is that the IT group, which, in my opinion, lacks of enough manpower. Following is a brief summary of this situation.</w:t>
      </w:r>
    </w:p>
    <w:p>
      <w:pPr>
        <w:pStyle w:val="Normal"/>
        <w:ind w:firstLine="360" w:end="0"/>
        <w:rPr>
          <w:rFonts w:ascii="Arial" w:hAnsi="Arial" w:cs="Arial"/>
          <w:color w:val="000000"/>
          <w:lang w:eastAsia="en-US"/>
        </w:rPr>
      </w:pPr>
      <w:r>
        <w:rPr>
          <w:rFonts w:cs="Arial" w:ascii="Arial" w:hAnsi="Arial"/>
          <w:color w:val="000000"/>
          <w:lang w:eastAsia="en-US"/>
        </w:rPr>
      </w:r>
    </w:p>
    <w:p>
      <w:pPr>
        <w:pStyle w:val="Normal"/>
        <w:ind w:firstLine="360" w:end="0"/>
        <w:rPr>
          <w:rFonts w:ascii="Arial" w:hAnsi="Arial" w:cs="Arial"/>
          <w:color w:val="000000"/>
          <w:lang w:eastAsia="en-US"/>
        </w:rPr>
      </w:pPr>
      <w:r>
        <w:rPr>
          <w:rFonts w:cs="Arial" w:ascii="Arial" w:hAnsi="Arial"/>
          <w:color w:val="000000"/>
          <w:lang w:eastAsia="en-US"/>
        </w:rPr>
        <w:t>Task list and manpower check.</w:t>
      </w:r>
    </w:p>
    <w:tbl>
      <w:tblPr>
        <w:tblW w:w="8856" w:type="dxa"/>
        <w:jc w:val="start"/>
        <w:tblInd w:w="0" w:type="dxa"/>
        <w:tblLayout w:type="fixed"/>
        <w:tblCellMar>
          <w:top w:w="0" w:type="dxa"/>
          <w:start w:w="108" w:type="dxa"/>
          <w:bottom w:w="0" w:type="dxa"/>
          <w:end w:w="108" w:type="dxa"/>
        </w:tblCellMar>
      </w:tblPr>
      <w:tblGrid>
        <w:gridCol w:w="1278"/>
        <w:gridCol w:w="2520"/>
        <w:gridCol w:w="1980"/>
        <w:gridCol w:w="1710"/>
        <w:gridCol w:w="1367"/>
        <w:gridCol w:w="1"/>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 xml:space="preserve">Problem # </w:t>
            </w:r>
          </w:p>
          <w:p>
            <w:pPr>
              <w:pStyle w:val="Normal"/>
              <w:rPr>
                <w:rFonts w:ascii="Arial" w:hAnsi="Arial" w:cs="Arial"/>
                <w:color w:val="000000"/>
                <w:lang w:eastAsia="en-US"/>
              </w:rPr>
            </w:pPr>
            <w:r>
              <w:rPr>
                <w:rFonts w:cs="Arial" w:ascii="Arial" w:hAnsi="Arial"/>
                <w:color w:val="000000"/>
                <w:lang w:eastAsia="en-US"/>
              </w:rPr>
              <w:t>(as listed above)</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To do list</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Manpower needed  *</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Manpower</w:t>
            </w:r>
          </w:p>
          <w:p>
            <w:pPr>
              <w:pStyle w:val="Normal"/>
              <w:rPr>
                <w:rFonts w:ascii="Arial" w:hAnsi="Arial" w:cs="Arial"/>
                <w:color w:val="000000"/>
                <w:lang w:eastAsia="en-US"/>
              </w:rPr>
            </w:pPr>
            <w:r>
              <w:rPr>
                <w:rFonts w:cs="Arial" w:ascii="Arial" w:hAnsi="Arial"/>
                <w:color w:val="000000"/>
                <w:lang w:eastAsia="en-US"/>
              </w:rPr>
              <w:t>available</w:t>
            </w:r>
          </w:p>
        </w:tc>
        <w:tc>
          <w:tcPr>
            <w:tcW w:w="13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Manpower</w:t>
            </w:r>
          </w:p>
          <w:p>
            <w:pPr>
              <w:pStyle w:val="Normal"/>
              <w:rPr>
                <w:rFonts w:ascii="Arial" w:hAnsi="Arial" w:cs="Arial"/>
                <w:color w:val="000000"/>
                <w:lang w:eastAsia="en-US"/>
              </w:rPr>
            </w:pPr>
            <w:r>
              <w:rPr>
                <w:rFonts w:cs="Arial" w:ascii="Arial" w:hAnsi="Arial"/>
                <w:color w:val="000000"/>
                <w:lang w:eastAsia="en-US"/>
              </w:rPr>
              <w:t>shorted</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1</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Database check &amp; fix</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IT --- 1-2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0.2 – 0.4 mw</w:t>
            </w:r>
          </w:p>
        </w:tc>
        <w:tc>
          <w:tcPr>
            <w:tcW w:w="13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0.8 – 1.6 mw</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Model check  &amp; fix</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Research --- 1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1 mw</w:t>
            </w:r>
          </w:p>
        </w:tc>
        <w:tc>
          <w:tcPr>
            <w:tcW w:w="13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2</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Monitoring New Model running process</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IT --- 2 - 3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0.4 – 0.8 mw</w:t>
            </w:r>
          </w:p>
        </w:tc>
        <w:tc>
          <w:tcPr>
            <w:tcW w:w="13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1.6 – 2.2 mw</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Monitoring comparable old Model process</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Research --- 0.5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1 mw</w:t>
            </w:r>
          </w:p>
        </w:tc>
        <w:tc>
          <w:tcPr>
            <w:tcW w:w="13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3</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coding</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IT --- 1-2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0.2 – 0.4 mw</w:t>
            </w:r>
          </w:p>
        </w:tc>
        <w:tc>
          <w:tcPr>
            <w:tcW w:w="13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0.8 – 1.6 mw</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validating</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IT, Research, Credit</w:t>
            </w:r>
          </w:p>
          <w:p>
            <w:pPr>
              <w:pStyle w:val="Normal"/>
              <w:rPr>
                <w:rFonts w:ascii="Arial" w:hAnsi="Arial" w:cs="Arial"/>
                <w:color w:val="000000"/>
                <w:lang w:eastAsia="en-US"/>
              </w:rPr>
            </w:pPr>
            <w:r>
              <w:rPr>
                <w:rFonts w:cs="Arial" w:ascii="Arial" w:hAnsi="Arial"/>
                <w:color w:val="000000"/>
                <w:lang w:eastAsia="en-US"/>
              </w:rPr>
              <w:t>1-2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1 mw</w:t>
            </w:r>
          </w:p>
        </w:tc>
        <w:tc>
          <w:tcPr>
            <w:tcW w:w="13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4</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coding</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IT --- 0.5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0.1 mw</w:t>
            </w:r>
          </w:p>
        </w:tc>
        <w:tc>
          <w:tcPr>
            <w:tcW w:w="13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0.4 mw</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Research assistance</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Research --- 0.5 mw</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1 mw</w:t>
            </w:r>
          </w:p>
        </w:tc>
        <w:tc>
          <w:tcPr>
            <w:tcW w:w="13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c>
          <w:tcPr>
            <w:tcW w:w="8856" w:type="dxa"/>
            <w:gridSpan w:val="5"/>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 discussed with the IT group, manpower is measure by man*week(mw)</w:t>
            </w:r>
          </w:p>
        </w:tc>
      </w:tr>
    </w:tbl>
    <w:p>
      <w:pPr>
        <w:pStyle w:val="Normal"/>
        <w:rPr>
          <w:lang w:eastAsia="en-US"/>
        </w:rPr>
      </w:pPr>
      <w:r>
        <w:rPr>
          <w:lang w:eastAsia="en-US"/>
        </w:rPr>
      </w:r>
    </w:p>
    <w:p>
      <w:pPr>
        <w:pStyle w:val="BodyText2"/>
        <w:rPr/>
      </w:pPr>
      <w:r>
        <w:rPr/>
        <w:t>The IT group is short of about 3.6 – 5.4 man*week manpower.  Although the IT group is working overtime, it will not be strange if the developing debugging process takes another month.  Any extra request from other groups, or any more requests for testing purpose from the Research will use up more of their tied resources.</w:t>
      </w:r>
    </w:p>
    <w:p>
      <w:pPr>
        <w:pStyle w:val="Normal"/>
        <w:rPr>
          <w:lang w:eastAsia="en-US"/>
        </w:rPr>
      </w:pPr>
      <w:r>
        <w:rPr>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color w:val="000000"/>
      <w:lang w:eastAsia="en-US"/>
    </w:rPr>
  </w:style>
  <w:style w:type="paragraph" w:styleId="BodyText2">
    <w:name w:val="Body Text 2"/>
    <w:basedOn w:val="Normal"/>
    <w:qFormat/>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2000-02-08T14:30:00Z</dcterms:created>
  <dc:creator>vtang</dc:creator>
  <dc:description/>
  <dc:language>en-CA</dc:language>
  <cp:lastModifiedBy>vtang</cp:lastModifiedBy>
  <cp:lastPrinted>2000-02-08T14:19:00Z</cp:lastPrinted>
  <dcterms:modified xsi:type="dcterms:W3CDTF">2000-02-08T18:12:00Z</dcterms:modified>
  <cp:revision>7</cp:revision>
  <dc:subject/>
  <dc:title>1</dc:title>
</cp:coreProperties>
</file>