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u w:val="single"/>
        </w:rPr>
        <w:t>Bob Bruce</w:t>
      </w:r>
      <w:r>
        <w:rPr/>
        <w:t xml:space="preserve"> (9/05/00)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ISDA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Crescendo Energy LLC</w:t>
      </w:r>
    </w:p>
    <w:p>
      <w:pPr>
        <w:pStyle w:val="Normal"/>
        <w:rPr/>
      </w:pPr>
      <w:r>
        <w:rPr/>
        <w:tab/>
        <w:tab/>
        <w:t>“hedge ratio” event of default</w:t>
      </w:r>
    </w:p>
    <w:p>
      <w:pPr>
        <w:pStyle w:val="Normal"/>
        <w:rPr/>
      </w:pPr>
      <w:r>
        <w:rPr/>
        <w:tab/>
        <w:t>Fortune Energy Inc. – waiting for info from Russell Diamond</w:t>
      </w:r>
    </w:p>
    <w:p>
      <w:pPr>
        <w:pStyle w:val="Normal"/>
        <w:rPr/>
      </w:pPr>
      <w:r>
        <w:rPr/>
        <w:tab/>
        <w:t>Western Resources, Inc.</w:t>
      </w:r>
    </w:p>
    <w:p>
      <w:pPr>
        <w:pStyle w:val="Normal"/>
        <w:rPr/>
      </w:pPr>
      <w:r>
        <w:rPr/>
        <w:tab/>
        <w:tab/>
        <w:t>Negotiate counterparty’s comments</w:t>
      </w:r>
    </w:p>
    <w:p>
      <w:pPr>
        <w:pStyle w:val="Normal"/>
        <w:rPr/>
      </w:pPr>
      <w:r>
        <w:rPr/>
        <w:tab/>
        <w:t>Canpet Energy Group confirmations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insider trading law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Obtain copy of, review current policy; revise by October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Meet with Gary Hickerson re operational procedures in place for Chinese Wall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Conference w/  Sullivan &amp; Cromwell, Lance Shuler, Donna Lowry re:</w:t>
      </w:r>
    </w:p>
    <w:p>
      <w:pPr>
        <w:pStyle w:val="Normal"/>
        <w:numPr>
          <w:ilvl w:val="0"/>
          <w:numId w:val="2"/>
        </w:numPr>
        <w:rPr/>
      </w:pPr>
      <w:r>
        <w:rPr/>
        <w:t>any changes in law requiring substantive revisions to policy?</w:t>
      </w:r>
    </w:p>
    <w:p>
      <w:pPr>
        <w:pStyle w:val="Normal"/>
        <w:numPr>
          <w:ilvl w:val="0"/>
          <w:numId w:val="2"/>
        </w:numPr>
        <w:rPr/>
      </w:pPr>
      <w:r>
        <w:rPr/>
        <w:t>Consult w/ S&amp;C re new Enron organizational structure and implications for policy revisions, who should receive policy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Cost-benefit comparison: internal website v. Dealbench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Research agriculture markets, laws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traders, Enron Net Works re development of financial, physical transactions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>
          <w:i/>
          <w:i/>
          <w:iCs/>
        </w:rPr>
      </w:pPr>
      <w:r>
        <w:rPr/>
        <w:t>Consult w/ Steve Douglas re formation of new entity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ab/>
        <w:t>Consult w/ Paul Simonds re activities of London office to date re ag trading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“Softs” trading – determine likely nationalities of international counterparties, which trading office will trade, who will provide legal support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Sidley &amp; Austin re weather products in ag context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Consult w/ Sidley &amp; Austin re farm credit programs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1200"/>
        </w:tabs>
        <w:ind w:start="1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>
      <w:rFonts w:ascii="Wingdings" w:hAnsi="Wingdings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2000-08-28T11:57:00Z</dcterms:created>
  <dc:creator>rbruce2</dc:creator>
  <dc:description/>
  <dc:language>en-CA</dc:language>
  <cp:lastModifiedBy>rbruce2</cp:lastModifiedBy>
  <dcterms:modified xsi:type="dcterms:W3CDTF">2000-09-05T13:24:00Z</dcterms:modified>
  <cp:revision>4</cp:revision>
  <dc:subject/>
  <dc:title>Bob Bruce</dc:title>
</cp:coreProperties>
</file>