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(9/011/00)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Western Resources,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Newfield Exploration Company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Cargill, Inc. – update agreement for renewed crude oil trading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policy and place online by October 1</w:t>
      </w:r>
    </w:p>
    <w:p>
      <w:pPr>
        <w:pStyle w:val="Normal"/>
        <w:rPr/>
      </w:pPr>
      <w:r>
        <w:rPr/>
        <w:tab/>
        <w:tab/>
        <w:t>-- consult w/ Sullivan &amp; Cromwell re revisions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Cost-benefit comparison: internal website v. Dealbench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Discuss credit derivatives activity w/ Jeff Kinneman; possible revisions to policy addressing credit derivatives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Research, consult w/ Sidley &amp; Austin re farm credit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Elsa Piekielniak re “counterparty/permitted transaction” matrix</w:t>
      </w:r>
    </w:p>
    <w:p>
      <w:pPr>
        <w:pStyle w:val="Normal"/>
        <w:rPr/>
      </w:pPr>
      <w:r>
        <w:rPr/>
        <w:tab/>
        <w:t>Sept. 14 Sparks presentation in D.C. office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2000-09-11T11:33:00Z</dcterms:modified>
  <cp:revision>6</cp:revision>
  <dc:subject/>
  <dc:title>Bob Bruce</dc:title>
</cp:coreProperties>
</file>