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(9/018/00)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Western Resources, Inc.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Newfield Exploration Company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North Coast Energy</w:t>
      </w:r>
    </w:p>
    <w:p>
      <w:pPr>
        <w:pStyle w:val="Normal"/>
        <w:rPr/>
      </w:pPr>
      <w:r>
        <w:rPr/>
        <w:tab/>
        <w:tab/>
        <w:t>Negotiate parent-company subordination issue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Brokerage Agreements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Cargill, Inc. – update agreement for renewed crude oil trading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Confirms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Revise Shell Chemical confirm</w:t>
      </w:r>
    </w:p>
    <w:p>
      <w:pPr>
        <w:pStyle w:val="Normal"/>
        <w:rPr/>
      </w:pPr>
      <w:r>
        <w:rPr/>
        <w:tab/>
        <w:t>Revise power confirms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insider trading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Revise policy and place online by October 1</w:t>
      </w:r>
    </w:p>
    <w:p>
      <w:pPr>
        <w:pStyle w:val="Normal"/>
        <w:rPr/>
      </w:pPr>
      <w:r>
        <w:rPr/>
        <w:tab/>
        <w:tab/>
        <w:t>-- consult w/ Sullivan &amp; Cromwell re revisions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Meet with Gary Hickerson re operational procedures in place for Chinese Wall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Cost-benefit comparison: internal website v. Dealbench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Discuss credit derivatives activity w/ Jeff Kinneman, S&amp;C; possible revisions to policy addressing credit derivatives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Research possible CW issue relating to spin-off of MG joint-ventured website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markets, laws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i/>
          <w:i/>
          <w:iCs/>
        </w:rPr>
      </w:pPr>
      <w:r>
        <w:rPr/>
        <w:t>Consult w/ Steve Douglas re formation of new entity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ab/>
        <w:t>Consult w/ Paul Simonds re activities of London office to date re 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“Softs” trading – determine likely nationalities of international counterparties, which trading office will trade, who will provide legal 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Sidley &amp; Austin re weather products in ag context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Research, consult w/ Sidley &amp; Austin re farm credit programs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Elsa Piekielniak re “counterparty/permitted transaction” matrix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Consult w/ Sheila Glover and RAC re ATOM recordkeeping requirements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2000-08-28T11:57:00Z</dcterms:created>
  <dc:creator>rbruce2</dc:creator>
  <dc:description/>
  <dc:language>en-CA</dc:language>
  <cp:lastModifiedBy>rbruce2</cp:lastModifiedBy>
  <dcterms:modified xsi:type="dcterms:W3CDTF">2000-09-18T18:10:00Z</dcterms:modified>
  <cp:revision>7</cp:revision>
  <dc:subject/>
  <dc:title>Bob Bruce</dc:title>
</cp:coreProperties>
</file>