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TRANSWESTERN PIPELINE COMPANY                                                   Proforma Sheet No. 19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FERC Gas Tariff                                                                           Superseding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Second Revised Volume No. 1                                                Sixth Revised Sheet No. 19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RATE SCHEDULE FTS-1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Firm Transportation Service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(continued)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i)      highest net present value, as determined by the following formula: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-n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(R per unit) x   1 - (1 + i )     = present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i               value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per unit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where:          i =     interest rate per month using the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current Commission interest rate as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defined in 18 C.F.R.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_154.67(c)(2)(iii)(A),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n =     term of the agreement, in months, and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 =     the rate bid on a monthly basis (the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reservation charge) or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ii)      highest rate, with a minimum stated term.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</w:t>
      </w:r>
      <w:r>
        <w:rPr>
          <w:rFonts w:eastAsia="Courier New" w:cs="Courier New" w:ascii="Courier New" w:hAnsi="Courier New"/>
          <w:sz w:val="16"/>
          <w:szCs w:val="16"/>
        </w:rPr>
        <w:t xml:space="preserve">E.      Any third party shipper who submits a bid for the available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capacity shall be obligated to sign and submit, with its bid, a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firm Service Agreement for such capacity at its bid price,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subject to a right of first refusal by the Shipper.  If a firm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Service Agreement does not accompany a bid or if the third party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bidder does not meet Transporter's creditworthiness standards,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the bid shall be invalid and shall be rejected.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</w:t>
      </w:r>
      <w:r>
        <w:rPr>
          <w:rFonts w:eastAsia="Courier New" w:cs="Courier New" w:ascii="Courier New" w:hAnsi="Courier New"/>
          <w:sz w:val="16"/>
          <w:szCs w:val="16"/>
        </w:rPr>
        <w:t xml:space="preserve">F.      Any third party shipper may submit a bid for all or any portion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of the capacity to be made available.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</w:t>
      </w:r>
      <w:r>
        <w:rPr>
          <w:rFonts w:eastAsia="Courier New" w:cs="Courier New" w:ascii="Courier New" w:hAnsi="Courier New"/>
          <w:sz w:val="16"/>
          <w:szCs w:val="16"/>
        </w:rPr>
        <w:t xml:space="preserve">G.      In the event two or more parties have bids of equal value which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qualify as the best offer and which, in the aggregate, exceed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the total capacity to become available, the capacity shall be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allocated by means of a lottery, with all capacity being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allocated to the winner(s).  The lottery will be conducted by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Transporter on a non-discriminatory basis and on one business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day's notice to the affected parties, who will have the right to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attend.  In the event the winning bid is not for the entire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amount of available capacity, then losing third party(ies) in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the lottery will have the opportunity to secure any remaining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capacity at its bid price (without requiring acceptance by the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bidder of an amount of capacity less than that which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was bid).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</w:t>
      </w:r>
      <w:r>
        <w:rPr>
          <w:rFonts w:eastAsia="Courier New" w:cs="Courier New" w:ascii="Courier New" w:hAnsi="Courier New"/>
          <w:sz w:val="16"/>
          <w:szCs w:val="16"/>
        </w:rPr>
        <w:t xml:space="preserve">H.      At least three months before the expiration of the Service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Agreement, Transporter shall notify the Shipper as to the terms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of the best offer it has received.  Shipper shall have the right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to match said offer no later than two weeks after notice to it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by Transporter.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shd w:fill="FFFFFF" w:val="clear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An FTS-1 Shipper exercising its ROFR may be required to match a bid up to a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shd w:fill="FFFFFF" w:val="clear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maximum rate higher than the currently effective maximum rate applicable to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shd w:fill="FFFFFF" w:val="clear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the capacity if there is an incremental rate on the system, the system is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shd w:fill="FFFFFF" w:val="clear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fully subscribed, and there is a competing bid above such currently effective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shd w:fill="FFFFFF" w:val="clear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</w:t>
      </w:r>
      <w:r>
        <w:rPr>
          <w:rFonts w:eastAsia="Courier New" w:cs="Courier New" w:ascii="Courier New" w:hAnsi="Courier New"/>
          <w:sz w:val="16"/>
          <w:szCs w:val="16"/>
        </w:rPr>
        <w:t xml:space="preserve">maximum rate.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4" w:color="000000"/>
        </w:pBdr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Issued by: Mary Kay Miller, V. P. Rates and Certificates                                                        </w:t>
      </w:r>
    </w:p>
    <w:p>
      <w:pPr>
        <w:pStyle w:val="Normal"/>
        <w:tabs>
          <w:tab w:val="clear" w:pos="720"/>
          <w:tab w:val="right" w:pos="10440" w:leader="none"/>
        </w:tabs>
        <w:ind w:end="-198"/>
        <w:rPr>
          <w:rFonts w:ascii="Courier New" w:hAnsi="Courier New" w:eastAsia="Courier New" w:cs="Courier New"/>
          <w:sz w:val="16"/>
          <w:szCs w:val="16"/>
        </w:rPr>
      </w:pPr>
      <w:r>
        <w:rPr>
          <w:rFonts w:eastAsia="Courier New" w:cs="Courier New" w:ascii="Courier New" w:hAnsi="Courier New"/>
          <w:sz w:val="16"/>
          <w:szCs w:val="16"/>
        </w:rPr>
        <w:t xml:space="preserve">Issued on:                                                                 Effective: November 1, 2001          </w:t>
      </w:r>
    </w:p>
    <w:sectPr>
      <w:type w:val="nextPage"/>
      <w:pgSz w:w="12240" w:h="15840"/>
      <w:pgMar w:left="965" w:right="720" w:gutter="0" w:header="0" w:top="576" w:footer="0" w:bottom="86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Univers (WN)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Para"/>
    <w:qFormat/>
    <w:pPr>
      <w:numPr>
        <w:ilvl w:val="0"/>
        <w:numId w:val="1"/>
      </w:numPr>
      <w:spacing w:before="60" w:after="120"/>
      <w:outlineLvl w:val="0"/>
    </w:pPr>
    <w:rPr>
      <w:rFonts w:ascii="Univers (WN)" w:hAnsi="Univers (WN)" w:eastAsia="Univers (WN)" w:cs="Univers (WN)"/>
      <w:b/>
      <w:bCs/>
      <w:sz w:val="24"/>
      <w:szCs w:val="24"/>
    </w:rPr>
  </w:style>
  <w:style w:type="paragraph" w:styleId="Heading2">
    <w:name w:val="heading 2"/>
    <w:basedOn w:val="Normal"/>
    <w:next w:val="Para"/>
    <w:qFormat/>
    <w:pPr>
      <w:numPr>
        <w:ilvl w:val="1"/>
        <w:numId w:val="1"/>
      </w:numPr>
      <w:spacing w:before="0" w:after="120"/>
      <w:outlineLvl w:val="1"/>
    </w:pPr>
    <w:rPr>
      <w:rFonts w:ascii="Univers (WN)" w:hAnsi="Univers (WN)" w:eastAsia="Univers (WN)" w:cs="Univers (WN)"/>
      <w:b/>
      <w:bC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spacing w:before="0" w:after="58"/>
      <w:ind w:hanging="0" w:start="360" w:end="0"/>
      <w:outlineLvl w:val="2"/>
    </w:pPr>
    <w:rPr>
      <w:rFonts w:ascii="Univers (WN)" w:hAnsi="Univers (WN)" w:eastAsia="Univers (WN)" w:cs="Univers (WN)"/>
      <w:b/>
      <w:bCs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ind w:hanging="0" w:start="360" w:end="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0" w:start="720" w:end="0"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ind w:hanging="0" w:start="720" w:end="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ind w:hanging="0" w:start="720" w:end="0"/>
      <w:outlineLvl w:val="6"/>
    </w:pPr>
    <w:rPr>
      <w:i/>
      <w:iCs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ind w:hanging="0" w:start="720" w:end="0"/>
      <w:outlineLvl w:val="7"/>
    </w:pPr>
    <w:rPr>
      <w:i/>
      <w:iCs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ind w:hanging="0" w:start="720" w:end="0"/>
      <w:outlineLvl w:val="8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Para">
    <w:name w:val="Para"/>
    <w:basedOn w:val="Normal"/>
    <w:qFormat/>
    <w:pPr>
      <w:spacing w:before="0" w:after="58"/>
      <w:ind w:hanging="0" w:start="115" w:end="0"/>
    </w:pPr>
    <w:rPr>
      <w:rFonts w:ascii="Univers (WN)" w:hAnsi="Univers (WN)" w:eastAsia="Univers (WN)" w:cs="Univers (WN)"/>
    </w:rPr>
  </w:style>
  <w:style w:type="paragraph" w:styleId="ParaIndent">
    <w:name w:val="Para/Indent"/>
    <w:basedOn w:val="Para"/>
    <w:qFormat/>
    <w:pPr>
      <w:ind w:hanging="0" w:start="360" w:end="0"/>
    </w:pPr>
    <w:rPr/>
  </w:style>
  <w:style w:type="paragraph" w:styleId="ListBull">
    <w:name w:val="List/Bull"/>
    <w:basedOn w:val="Para"/>
    <w:qFormat/>
    <w:pPr>
      <w:tabs>
        <w:tab w:val="clear" w:pos="720"/>
        <w:tab w:val="left" w:pos="346" w:leader="none"/>
      </w:tabs>
      <w:ind w:hanging="245" w:start="346" w:end="0"/>
    </w:pPr>
    <w:rPr/>
  </w:style>
  <w:style w:type="paragraph" w:styleId="ListNum">
    <w:name w:val="List/Num"/>
    <w:basedOn w:val="Para"/>
    <w:qFormat/>
    <w:pPr>
      <w:tabs>
        <w:tab w:val="clear" w:pos="720"/>
        <w:tab w:val="right" w:pos="274" w:leader="none"/>
        <w:tab w:val="left" w:pos="360" w:leader="none"/>
      </w:tabs>
      <w:ind w:hanging="245" w:start="346" w:end="0"/>
    </w:pPr>
    <w:rPr/>
  </w:style>
  <w:style w:type="paragraph" w:styleId="EnvelopeAddress">
    <w:name w:val="envelope address"/>
    <w:basedOn w:val="Normal"/>
    <w:pPr/>
    <w:rPr>
      <w:rFonts w:ascii="Arial" w:hAnsi="Arial" w:eastAsia="Arial" w:cs="Arial"/>
      <w:sz w:val="24"/>
      <w:szCs w:val="24"/>
    </w:rPr>
  </w:style>
  <w:style w:type="paragraph" w:styleId="JGStyle">
    <w:name w:val="JGStyle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2001-10-01T16:23:00Z</dcterms:created>
  <dc:creator>l</dc:creator>
  <dc:description/>
  <dc:language>en-CA</dc:language>
  <cp:lastModifiedBy>mdarvea</cp:lastModifiedBy>
  <cp:lastPrinted>2001-10-04T14:20:00Z</cp:lastPrinted>
  <dcterms:modified xsi:type="dcterms:W3CDTF">2001-10-04T17:21:00Z</dcterms:modified>
  <cp:revision>4</cp:revision>
  <dc:subject/>
  <dc:title>~Header1~</dc:title>
</cp:coreProperties>
</file>