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TRANSWESTERN PIPELINE COMPANY                                                   Proforma Sheet No. 18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FERC Gas Tariff                                                                           Superseding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Second Revised Volume No. 1                                                Third Revised Sheet No. 18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RATE SCHEDULE FTS-1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Firm Transportation Service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(continued)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</w:t>
      </w:r>
      <w:r>
        <w:rPr>
          <w:rFonts w:eastAsia="Courier New" w:cs="Courier New" w:ascii="Courier New" w:hAnsi="Courier New"/>
          <w:sz w:val="16"/>
          <w:szCs w:val="16"/>
        </w:rPr>
        <w:t xml:space="preserve">13.     RIGHT OF FIRST REFUSAL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</w:t>
      </w:r>
      <w:r>
        <w:rPr>
          <w:rFonts w:eastAsia="Courier New" w:cs="Courier New" w:ascii="Courier New" w:hAnsi="Courier New"/>
          <w:sz w:val="16"/>
          <w:szCs w:val="16"/>
        </w:rPr>
        <w:t xml:space="preserve">A.    For any FTS-1 Shipper who has executed a Service Agreement in effect prior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to March 27, 2000 (grandfathered) which contains a term of one year or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longer, or for any FTS-1 Shipper who permanently replaces a releasing FTS-1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Shipper under an FTS-1 Service Agreement in effect prior to March 27, 2000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(grandfathered) which contained an original term of one year or longer, or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any FTS-1 Shipper who has executed a Service Agreement on or after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March 27, 2000, which contains a term of one year or longer at the maximum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rate, the Shipper shall have a "right of first refusal" as specified below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with respect to the reservation of firm capacity upon termination of the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service agreement.  If the Shipper does not notify Transporter (as required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in paragraph C below) before the expiration of the Service Agreement as to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whether it desires to extend the Service Agreement, then no right of first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>refusal shall accrue to the Shipper.  Transwestern and Shipper may mutually agree to include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>ROFR rights on a  not unduly discriminatory basis.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</w:t>
      </w:r>
      <w:r>
        <w:rPr>
          <w:rFonts w:eastAsia="Courier New" w:cs="Courier New" w:ascii="Courier New" w:hAnsi="Courier New"/>
          <w:sz w:val="16"/>
          <w:szCs w:val="16"/>
        </w:rPr>
        <w:t xml:space="preserve">B.    Nothing herein shall be deemed to prohibit the firm Shipper from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negotiating a new Service Agreement with the Transporter, nor from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extending the term of the Shipper's existing Service Agreement in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accordance with the terms thereof.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</w:t>
      </w:r>
      <w:r>
        <w:rPr>
          <w:rFonts w:eastAsia="Courier New" w:cs="Courier New" w:ascii="Courier New" w:hAnsi="Courier New"/>
          <w:sz w:val="16"/>
          <w:szCs w:val="16"/>
        </w:rPr>
        <w:t xml:space="preserve">C.    The Shipper will notify Transporter in writing as to whether it desires to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extend the Service Agreement at least: (i) six (6) months before the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expiration of Service Agreements with a term of two years or less, or (ii)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one year before the expiration of Service Agreements with a term exceeding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two years.  If the Shipper does wish to extend its Service  Agreement at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maximum rates for its full volume and for a minimum term of ten years, then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the Transporter and Shipper will execute a new Service Agreement.  If the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Shipper does not wish to so extend its Service Agreement, then Transporter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will, within ten business days, begin soliciting bids from other parties,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by posting notice of the available capacity, and all pertinent data, in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accordance with Section 30.4(a)1,2,3,4,6,7,8 of the General Terms and Conditions of this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tariff.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</w:t>
      </w:r>
      <w:r>
        <w:rPr>
          <w:rFonts w:eastAsia="Courier New" w:cs="Courier New" w:ascii="Courier New" w:hAnsi="Courier New"/>
          <w:sz w:val="16"/>
          <w:szCs w:val="16"/>
        </w:rPr>
        <w:t xml:space="preserve">D.    Transporter shall include in its notice of available capacity, in addition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to the information set forth in Section  30.4 of the General Terms and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Conditions of this Tariff, the deadline for submittal of bids (which shall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be a minimum of one month after the date of posting) and the method of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determining which bid(s) is the "best offer".  Upon receipt of all bids,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Transporter shall determine if each bidding party meets the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creditworthiness standards set forth in Section 13 of the  General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Terms and Conditions of this Tariff.  Transporter shall then evaluate the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bids in accordance with one of the following two methods, which method will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be identified in the notice of available capacity: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Issued by: Mary Kay Miller, V. P. Rates and Certificates                                            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Issued on:                                                               Effective: November 1, 2001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</w:t>
      </w:r>
    </w:p>
    <w:sectPr>
      <w:type w:val="nextPage"/>
      <w:pgSz w:w="12240" w:h="15840"/>
      <w:pgMar w:left="965" w:right="720" w:gutter="0" w:header="0" w:top="576" w:footer="0" w:bottom="86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Univers (WN)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Para"/>
    <w:qFormat/>
    <w:pPr>
      <w:numPr>
        <w:ilvl w:val="0"/>
        <w:numId w:val="1"/>
      </w:numPr>
      <w:spacing w:before="60" w:after="120"/>
      <w:outlineLvl w:val="0"/>
    </w:pPr>
    <w:rPr>
      <w:rFonts w:ascii="Univers (WN)" w:hAnsi="Univers (WN)" w:eastAsia="Univers (WN)" w:cs="Univers (WN)"/>
      <w:b/>
      <w:bCs/>
      <w:sz w:val="24"/>
      <w:szCs w:val="24"/>
    </w:rPr>
  </w:style>
  <w:style w:type="paragraph" w:styleId="Heading2">
    <w:name w:val="heading 2"/>
    <w:basedOn w:val="Normal"/>
    <w:next w:val="Para"/>
    <w:qFormat/>
    <w:pPr>
      <w:numPr>
        <w:ilvl w:val="1"/>
        <w:numId w:val="1"/>
      </w:numPr>
      <w:spacing w:before="0" w:after="120"/>
      <w:outlineLvl w:val="1"/>
    </w:pPr>
    <w:rPr>
      <w:rFonts w:ascii="Univers (WN)" w:hAnsi="Univers (WN)" w:eastAsia="Univers (WN)" w:cs="Univers (WN)"/>
      <w:b/>
      <w:bC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spacing w:before="0" w:after="58"/>
      <w:ind w:hanging="0" w:start="360" w:end="0"/>
      <w:outlineLvl w:val="2"/>
    </w:pPr>
    <w:rPr>
      <w:rFonts w:ascii="Univers (WN)" w:hAnsi="Univers (WN)" w:eastAsia="Univers (WN)" w:cs="Univers (WN)"/>
      <w:b/>
      <w:bCs/>
    </w:rPr>
  </w:style>
  <w:style w:type="paragraph" w:styleId="Heading4">
    <w:name w:val="heading 4"/>
    <w:basedOn w:val="Normal"/>
    <w:next w:val="NormalIndent"/>
    <w:qFormat/>
    <w:pPr>
      <w:numPr>
        <w:ilvl w:val="3"/>
        <w:numId w:val="1"/>
      </w:numPr>
      <w:ind w:hanging="0" w:start="360" w:end="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ind w:hanging="0" w:start="720" w:end="0"/>
      <w:outlineLvl w:val="4"/>
    </w:pPr>
    <w:rPr>
      <w:b/>
      <w:bCs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ind w:hanging="0" w:start="720" w:end="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ind w:hanging="0" w:start="720" w:end="0"/>
      <w:outlineLvl w:val="6"/>
    </w:pPr>
    <w:rPr>
      <w:i/>
      <w:iCs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ind w:hanging="0" w:start="720" w:end="0"/>
      <w:outlineLvl w:val="7"/>
    </w:pPr>
    <w:rPr>
      <w:i/>
      <w:iCs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ind w:hanging="0" w:start="720" w:end="0"/>
      <w:outlineLvl w:val="8"/>
    </w:pPr>
    <w:rPr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Para">
    <w:name w:val="Para"/>
    <w:basedOn w:val="Normal"/>
    <w:qFormat/>
    <w:pPr>
      <w:spacing w:before="0" w:after="58"/>
      <w:ind w:hanging="0" w:start="115" w:end="0"/>
    </w:pPr>
    <w:rPr>
      <w:rFonts w:ascii="Univers (WN)" w:hAnsi="Univers (WN)" w:eastAsia="Univers (WN)" w:cs="Univers (WN)"/>
    </w:rPr>
  </w:style>
  <w:style w:type="paragraph" w:styleId="ParaIndent">
    <w:name w:val="Para/Indent"/>
    <w:basedOn w:val="Para"/>
    <w:qFormat/>
    <w:pPr>
      <w:ind w:hanging="0" w:start="360" w:end="0"/>
    </w:pPr>
    <w:rPr/>
  </w:style>
  <w:style w:type="paragraph" w:styleId="ListBull">
    <w:name w:val="List/Bull"/>
    <w:basedOn w:val="Para"/>
    <w:qFormat/>
    <w:pPr>
      <w:tabs>
        <w:tab w:val="clear" w:pos="720"/>
        <w:tab w:val="left" w:pos="346" w:leader="none"/>
      </w:tabs>
      <w:ind w:hanging="245" w:start="346" w:end="0"/>
    </w:pPr>
    <w:rPr/>
  </w:style>
  <w:style w:type="paragraph" w:styleId="ListNum">
    <w:name w:val="List/Num"/>
    <w:basedOn w:val="Para"/>
    <w:qFormat/>
    <w:pPr>
      <w:tabs>
        <w:tab w:val="clear" w:pos="720"/>
        <w:tab w:val="right" w:pos="274" w:leader="none"/>
        <w:tab w:val="left" w:pos="360" w:leader="none"/>
      </w:tabs>
      <w:ind w:hanging="245" w:start="346" w:end="0"/>
    </w:pPr>
    <w:rPr/>
  </w:style>
  <w:style w:type="paragraph" w:styleId="EnvelopeAddress">
    <w:name w:val="envelope address"/>
    <w:basedOn w:val="Normal"/>
    <w:pPr/>
    <w:rPr>
      <w:rFonts w:ascii="Arial" w:hAnsi="Arial" w:eastAsia="Arial" w:cs="Arial"/>
      <w:sz w:val="24"/>
      <w:szCs w:val="24"/>
    </w:rPr>
  </w:style>
  <w:style w:type="paragraph" w:styleId="JGStyle">
    <w:name w:val="JGStyle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2001-10-01T16:22:00Z</dcterms:created>
  <dc:creator>l</dc:creator>
  <dc:description/>
  <dc:language>en-CA</dc:language>
  <cp:lastModifiedBy>mdarvea</cp:lastModifiedBy>
  <cp:lastPrinted>2001-10-04T14:48:00Z</cp:lastPrinted>
  <dcterms:modified xsi:type="dcterms:W3CDTF">2001-10-04T17:19:00Z</dcterms:modified>
  <cp:revision>7</cp:revision>
  <dc:subject/>
  <dc:title>~Header1~</dc:title>
</cp:coreProperties>
</file>