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PHYS &amp; GD INDEX POSITIONS – Rolling Forward Premium Risk into IM Fixed Price Risk</w:t>
      </w:r>
    </w:p>
    <w:p>
      <w:pPr>
        <w:pStyle w:val="Normal"/>
        <w:rPr>
          <w:b/>
        </w:rPr>
      </w:pPr>
      <w:r>
        <w:rPr>
          <w:b/>
        </w:rPr>
      </w:r>
    </w:p>
    <w:p>
      <w:pPr>
        <w:pStyle w:val="Normal"/>
        <w:rPr>
          <w:b/>
        </w:rPr>
      </w:pPr>
      <w:r>
        <w:rPr>
          <w:b/>
        </w:rPr>
      </w:r>
    </w:p>
    <w:p>
      <w:pPr>
        <w:pStyle w:val="Normal"/>
        <w:rPr>
          <w:b/>
        </w:rPr>
      </w:pPr>
      <w:r>
        <w:rPr>
          <w:b/>
        </w:rPr>
        <w:t>General</w:t>
      </w:r>
    </w:p>
    <w:p>
      <w:pPr>
        <w:pStyle w:val="Normal"/>
        <w:rPr>
          <w:b/>
        </w:rPr>
      </w:pPr>
      <w:r>
        <w:rPr>
          <w:b/>
        </w:rPr>
      </w:r>
    </w:p>
    <w:p>
      <w:pPr>
        <w:pStyle w:val="Normal"/>
        <w:rPr/>
      </w:pPr>
      <w:r>
        <w:rPr/>
        <w:t>The systems need to recognize the two distinctly different phases that index deals create.  In the first stage the exposure is limited to changes in index premium/discount only, therefore the associated risk is relatively low.  During bid week as the index is being “established” (not to be confused with posted) the position gradually alters its risk profile; the exposure becomes fixed price and the associated risk is much higher.</w:t>
      </w:r>
    </w:p>
    <w:p>
      <w:pPr>
        <w:pStyle w:val="Normal"/>
        <w:rPr/>
      </w:pPr>
      <w:r>
        <w:rPr/>
      </w:r>
    </w:p>
    <w:p>
      <w:pPr>
        <w:pStyle w:val="Normal"/>
        <w:rPr/>
      </w:pPr>
      <w:r>
        <w:rPr/>
      </w:r>
    </w:p>
    <w:p>
      <w:pPr>
        <w:pStyle w:val="Heading1"/>
        <w:ind w:hanging="0" w:start="0"/>
        <w:rPr/>
      </w:pPr>
      <w:r>
        <w:rPr/>
        <w:t>Positions</w:t>
      </w:r>
    </w:p>
    <w:p>
      <w:pPr>
        <w:pStyle w:val="Normal"/>
        <w:rPr/>
      </w:pPr>
      <w:r>
        <w:rPr/>
      </w:r>
    </w:p>
    <w:p>
      <w:pPr>
        <w:pStyle w:val="Normal"/>
        <w:rPr/>
      </w:pPr>
      <w:r>
        <w:rPr/>
        <w:t>Since a single deal has two distinct stages of risk, that deal needs to be displayed in one column during the first stage (Risk type – Index) and a different column during the second stage (Risk Type – Intra-Month).  The transition from the first stage to the second actually occurs gradually, but the traders have agreed that positions should NOT roll gradually.  Positions should roll 100% at one time.  Rolling should be triggered by the risk group on a monthly basis.  The timing must be flexible and not hard coded.</w:t>
      </w:r>
    </w:p>
    <w:p>
      <w:pPr>
        <w:pStyle w:val="Normal"/>
        <w:rPr/>
      </w:pPr>
      <w:r>
        <w:rPr/>
      </w:r>
    </w:p>
    <w:p>
      <w:pPr>
        <w:pStyle w:val="Normal"/>
        <w:rPr/>
      </w:pPr>
      <w:r>
        <w:rPr/>
        <w:t>Triggering of physical deals can already be controlled by the risk group by bringing in prompt month Sitara positions (which will show up as Risk Type – Intra-month) and simultaneously decaying the ERMS/TAGG Index positions.  Note: it is critical that these events happen simultaneously, otherwise positions would be double counted.</w:t>
      </w:r>
    </w:p>
    <w:p>
      <w:pPr>
        <w:pStyle w:val="Normal"/>
        <w:rPr/>
      </w:pPr>
      <w:r>
        <w:rPr/>
      </w:r>
    </w:p>
    <w:p>
      <w:pPr>
        <w:pStyle w:val="Normal"/>
        <w:rPr/>
      </w:pPr>
      <w:r>
        <w:rPr/>
        <w:t>Triggering of gas daily index deals requires new coding to the ERMS system.  Currently ERMS/TAGG does not discern gas daily index risk from gas daily fixed price risk (the two stages of risk created by one index deal).  The following depicts how deals are currently represented and how they need to be represented.</w:t>
      </w:r>
    </w:p>
    <w:p>
      <w:pPr>
        <w:pStyle w:val="Normal"/>
        <w:rPr/>
      </w:pPr>
      <w:r>
        <w:rPr/>
      </w:r>
    </w:p>
    <w:p>
      <w:pPr>
        <w:pStyle w:val="Normal"/>
        <w:rPr/>
      </w:pPr>
      <w:r>
        <w:rPr/>
        <w:tab/>
        <w:t>Long 200 contracts of fixed price gas daily (rest of month)</w:t>
      </w:r>
    </w:p>
    <w:p>
      <w:pPr>
        <w:pStyle w:val="Normal"/>
        <w:rPr/>
      </w:pPr>
      <w:r>
        <w:rPr/>
        <w:tab/>
        <w:t>Short 50   contracts of index gas daily (forward)</w:t>
      </w:r>
    </w:p>
    <w:p>
      <w:pPr>
        <w:pStyle w:val="Normal"/>
        <w:rPr/>
      </w:pPr>
      <w:r>
        <w:rPr/>
      </w:r>
    </w:p>
    <w:p>
      <w:pPr>
        <w:pStyle w:val="Normal"/>
        <w:ind w:start="1440" w:end="0"/>
        <w:rPr/>
      </w:pPr>
      <w:r>
        <w:rPr/>
        <w:t>CURRENT</w:t>
        <w:tab/>
        <w:tab/>
        <w:tab/>
        <w:t>REQUIRED</w:t>
      </w:r>
    </w:p>
    <w:p>
      <w:pPr>
        <w:pStyle w:val="Normal"/>
        <w:tabs>
          <w:tab w:val="left" w:pos="720" w:leader="none"/>
        </w:tabs>
        <w:ind w:hanging="450" w:start="1170" w:end="0"/>
        <w:rPr/>
      </w:pPr>
      <w:r>
        <w:rPr/>
      </w:r>
    </w:p>
    <w:p>
      <w:pPr>
        <w:pStyle w:val="Normal"/>
        <w:tabs>
          <w:tab w:val="left" w:pos="720" w:leader="none"/>
        </w:tabs>
        <w:ind w:hanging="450" w:start="1170" w:end="0"/>
        <w:rPr/>
      </w:pPr>
      <w:r>
        <w:rPr/>
        <w:t>Curve</w:t>
        <w:tab/>
        <w:t>GDP-Socal</w:t>
        <w:tab/>
        <w:tab/>
        <w:t>GDP-Socal</w:t>
        <w:tab/>
        <w:t>GDP-Socal</w:t>
      </w:r>
    </w:p>
    <w:p>
      <w:pPr>
        <w:pStyle w:val="Normal"/>
        <w:tabs>
          <w:tab w:val="left" w:pos="720" w:leader="none"/>
        </w:tabs>
        <w:ind w:hanging="450" w:start="1170" w:end="0"/>
        <w:rPr/>
      </w:pPr>
      <w:r>
        <w:rPr/>
        <w:t>Risk</w:t>
        <w:tab/>
        <w:tab/>
        <w:t>IM</w:t>
        <w:tab/>
        <w:tab/>
        <w:tab/>
        <w:t>IM</w:t>
        <w:tab/>
        <w:tab/>
        <w:t>Index</w:t>
      </w:r>
    </w:p>
    <w:p>
      <w:pPr>
        <w:pStyle w:val="Normal"/>
        <w:tabs>
          <w:tab w:val="left" w:pos="720" w:leader="none"/>
        </w:tabs>
        <w:ind w:hanging="450" w:start="1170" w:end="0"/>
        <w:rPr/>
      </w:pPr>
      <w:r>
        <w:rPr/>
      </w:r>
    </w:p>
    <w:p>
      <w:pPr>
        <w:pStyle w:val="Normal"/>
        <w:tabs>
          <w:tab w:val="left" w:pos="720" w:leader="none"/>
        </w:tabs>
        <w:ind w:hanging="450" w:start="1170" w:end="0"/>
        <w:rPr/>
      </w:pPr>
      <w:r>
        <w:rPr/>
        <w:t>Oct</w:t>
        <w:tab/>
        <w:tab/>
        <w:t>+200</w:t>
        <w:tab/>
        <w:tab/>
        <w:tab/>
        <w:t>+200</w:t>
      </w:r>
    </w:p>
    <w:p>
      <w:pPr>
        <w:pStyle w:val="Normal"/>
        <w:tabs>
          <w:tab w:val="left" w:pos="720" w:leader="none"/>
        </w:tabs>
        <w:ind w:hanging="450" w:start="1170" w:end="0"/>
        <w:rPr/>
      </w:pPr>
      <w:r>
        <w:rPr/>
        <w:t>Nov</w:t>
        <w:tab/>
        <w:tab/>
        <w:t>-50</w:t>
        <w:tab/>
        <w:tab/>
        <w:tab/>
        <w:tab/>
        <w:tab/>
        <w:t>-50</w:t>
      </w:r>
    </w:p>
    <w:p>
      <w:pPr>
        <w:pStyle w:val="Normal"/>
        <w:tabs>
          <w:tab w:val="left" w:pos="720" w:leader="none"/>
        </w:tabs>
        <w:ind w:hanging="450" w:start="1170" w:end="0"/>
        <w:rPr/>
      </w:pPr>
      <w:r>
        <w:rPr/>
        <w:t>Dec</w:t>
        <w:tab/>
        <w:tab/>
        <w:t>-50</w:t>
        <w:tab/>
        <w:tab/>
        <w:tab/>
        <w:tab/>
        <w:tab/>
        <w:t>-50</w:t>
      </w:r>
    </w:p>
    <w:p>
      <w:pPr>
        <w:pStyle w:val="Normal"/>
        <w:tabs>
          <w:tab w:val="left" w:pos="720" w:leader="none"/>
        </w:tabs>
        <w:ind w:hanging="450" w:start="1170" w:end="0"/>
        <w:rPr/>
      </w:pPr>
      <w:r>
        <w:rPr/>
        <w:t>Jan</w:t>
        <w:tab/>
        <w:tab/>
        <w:t>-50</w:t>
        <w:tab/>
        <w:tab/>
        <w:tab/>
        <w:tab/>
        <w:tab/>
        <w:t>-50</w:t>
      </w:r>
    </w:p>
    <w:p>
      <w:pPr>
        <w:pStyle w:val="Normal"/>
        <w:rPr/>
      </w:pPr>
      <w:r>
        <w:rPr/>
      </w:r>
    </w:p>
    <w:p>
      <w:pPr>
        <w:pStyle w:val="Normal"/>
        <w:rPr/>
      </w:pPr>
      <w:r>
        <w:rPr/>
        <w:t xml:space="preserve">At some point during bid week the system needs to roll the –50 from the Nov GDP-SoCal/Index to Nov GDP-SoCal/IM.  Rolling should be triggered by the risk group on a monthly basis, and would need to happen on the same day as physical.  The timing must be flexible and not hard coded.  This rolling could be accomplished at the TDS level without changing any coding in ERMS, however this route fails to provide a long term solution to the associated VaR problems (discussed in detail below) and would also be more tasking on the TDS design since the Curve Shift calculation for the two stages are different. </w:t>
      </w:r>
    </w:p>
    <w:p>
      <w:pPr>
        <w:pStyle w:val="Normal"/>
        <w:rPr/>
      </w:pPr>
      <w:r>
        <w:rPr/>
      </w:r>
    </w:p>
    <w:p>
      <w:pPr>
        <w:pStyle w:val="Normal"/>
        <w:rPr/>
      </w:pPr>
      <w:r>
        <w:rPr/>
        <w:t>As shown, the proper display of Index positions and rolling them into an intra-month category is achieved by a combination of triggers pulled by the risk group at the appropriate time and a change to the coding of ERMS/TAGG gas daily logic.  It appears that TDS does not require any alterations beyond accepting physical positions.</w:t>
      </w:r>
    </w:p>
    <w:p>
      <w:pPr>
        <w:pStyle w:val="Normal"/>
        <w:rPr/>
      </w:pPr>
      <w:r>
        <w:rPr/>
      </w:r>
    </w:p>
    <w:p>
      <w:pPr>
        <w:pStyle w:val="Normal"/>
        <w:rPr/>
      </w:pPr>
      <w:r>
        <w:rPr/>
      </w:r>
    </w:p>
    <w:p>
      <w:pPr>
        <w:pStyle w:val="Normal"/>
        <w:rPr/>
      </w:pPr>
      <w:r>
        <w:rPr/>
      </w:r>
    </w:p>
    <w:p>
      <w:pPr>
        <w:pStyle w:val="Normal"/>
        <w:rPr>
          <w:b/>
        </w:rPr>
      </w:pPr>
      <w:r>
        <w:rPr>
          <w:b/>
        </w:rPr>
        <w:t>Value at Risk (VaR)</w:t>
      </w:r>
    </w:p>
    <w:p>
      <w:pPr>
        <w:pStyle w:val="Normal"/>
        <w:rPr>
          <w:b/>
        </w:rPr>
      </w:pPr>
      <w:r>
        <w:rPr>
          <w:b/>
        </w:rPr>
      </w:r>
    </w:p>
    <w:p>
      <w:pPr>
        <w:pStyle w:val="Normal"/>
        <w:rPr/>
      </w:pPr>
      <w:r>
        <w:rPr/>
        <w:t xml:space="preserve">As discussed above, a single deal creates significantly different levels of risk depending upon which stage the deal is in.  The VaR calculation needs to quantify risk accordingly.  Furthermore, the true risks created by physical and gas daily index deals are practically identical, thus the system needs to quantify VaR as such. </w:t>
      </w:r>
    </w:p>
    <w:p>
      <w:pPr>
        <w:pStyle w:val="Normal"/>
        <w:rPr/>
      </w:pPr>
      <w:r>
        <w:rPr/>
      </w:r>
    </w:p>
    <w:p>
      <w:pPr>
        <w:pStyle w:val="Normal"/>
        <w:rPr/>
      </w:pPr>
      <w:r>
        <w:rPr/>
        <w:t>The discussion under the position heading requests that positions should roll all at once in TDS despite the knowledge that the true transfer of risk occurs more gradually.  However, the VaR calculation needs to reflect the gradual rolling of risk (similar to basis positions decaying a certain portion each day).  The rate at which positions roll from stage one to stage two should be defined by a “percent set matrix” currently being developed by the ERMS group.  Also, in order for VaR to capture the true and total exposure of the portfolio, Sitara physical positions for VaR calculations should be rolled in at the same rate that index deals are rolled.</w:t>
      </w:r>
    </w:p>
    <w:p>
      <w:pPr>
        <w:pStyle w:val="Normal"/>
        <w:rPr/>
      </w:pPr>
      <w:r>
        <w:rPr/>
      </w:r>
    </w:p>
    <w:p>
      <w:pPr>
        <w:pStyle w:val="Normal"/>
        <w:rPr/>
      </w:pPr>
      <w:r>
        <w:rPr/>
        <w:t>Physical index deals reside in two systems.  The system capturing a deal in the first stage is the ERMS Index book.  Currently, the VaR calculation values physical index risk as zero.  The system capturing a deal in the second stage is Sitara.  The VaR calculation recognizes prompt index deals as fixed price.  This is OK, however, it is critical that the risk group does not roll in Sitara prompt positions at a faster rate than they are truly shifting to fixed price risk (index is being “established”), otherwise risk would be greatly over stated.  Ie: a deal in stage one would be VaRed at the much higher risk associated with stage two deals.</w:t>
      </w:r>
    </w:p>
    <w:p>
      <w:pPr>
        <w:pStyle w:val="Normal"/>
        <w:rPr/>
      </w:pPr>
      <w:r>
        <w:rPr/>
      </w:r>
    </w:p>
    <w:p>
      <w:pPr>
        <w:pStyle w:val="Normal"/>
        <w:rPr/>
      </w:pPr>
      <w:r>
        <w:rPr/>
        <w:t>Gas daily index deals reside in only one system (ERMS/TAGG) and as stated in the Position discussion the system currently lumps stage one and stage two index deals together under GPD-xxx/IM.  This is problematic for VaR, since the system identifies stage one deals as fixed price risk, grossly over stating VaR.  Our risk group resolves this issue by calculating the gas daily book twice.  Once for VaR, excluding forward positions, and anther for positions and P/L which includes all deals.  If the new coding described in the Position discussion is implemented, premium risk would be easily separated from fixed price risk and VaR would be able to quantify the true risk.</w:t>
      </w:r>
    </w:p>
    <w:p>
      <w:pPr>
        <w:pStyle w:val="Normal"/>
        <w:rPr/>
      </w:pPr>
      <w:r>
        <w:rPr/>
      </w:r>
    </w:p>
    <w:p>
      <w:pPr>
        <w:pStyle w:val="Normal"/>
        <w:rPr/>
      </w:pPr>
      <w:r>
        <w:rPr/>
      </w:r>
    </w:p>
    <w:p>
      <w:pPr>
        <w:pStyle w:val="Heading1"/>
        <w:ind w:hanging="0" w:start="0"/>
        <w:rPr/>
      </w:pPr>
      <w:r>
        <w:rPr/>
        <w:t>Curve Shift</w:t>
      </w:r>
    </w:p>
    <w:p>
      <w:pPr>
        <w:pStyle w:val="Normal"/>
        <w:rPr>
          <w:b/>
        </w:rPr>
      </w:pPr>
      <w:r>
        <w:rPr>
          <w:b/>
        </w:rPr>
      </w:r>
    </w:p>
    <w:p>
      <w:pPr>
        <w:pStyle w:val="Normal"/>
        <w:rPr/>
      </w:pPr>
      <w:r>
        <w:rPr/>
        <w:t>Curve shift calculation for deals fully in the first stage or fully in the second phase are straight forward.  However, the calculation becomes more complex during the transition phase (from stage one to stage two).  This compexity is caused by the “float for float” nature of these deals.  Price movements on the physical or gas daily half of the transaction is regular curve shift which is captured by calculating the day over day change in the notional curve.  However, the monthly index half of the transaction will also fluctuate.  This P/L is currently presented as change deal value, but traders will find it very useful to have it included in the curve shift calculation in TDS.</w:t>
      </w:r>
    </w:p>
    <w:p>
      <w:pPr>
        <w:pStyle w:val="Normal"/>
        <w:rPr/>
      </w:pPr>
      <w:r>
        <w:rPr/>
      </w:r>
    </w:p>
    <w:p>
      <w:pPr>
        <w:pStyle w:val="Normal"/>
        <w:rPr/>
      </w:pPr>
      <w:r>
        <w:rPr/>
        <w:t>Following is an example of curve shift calculations for a physical index deal.  A gas daily index swap would have identical logic.  As seen in the example, curve shift has two components caused by the float for float nature.  TDS should display the net number initially, and then a right mouse click would allow the trader to drill into the two sub components.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Day 1</w:t>
        <w:tab/>
        <w:t>Day 2</w:t>
        <w:tab/>
        <w:t>Day 3</w:t>
        <w:tab/>
        <w:t>Day 4</w:t>
      </w:r>
    </w:p>
    <w:p>
      <w:pPr>
        <w:pStyle w:val="Normal"/>
        <w:rPr/>
      </w:pPr>
      <w:r>
        <w:rPr/>
        <w:tab/>
        <w:t>Price</w:t>
        <w:tab/>
        <w:tab/>
        <w:t>3.00</w:t>
        <w:tab/>
        <w:t>3.10</w:t>
        <w:tab/>
        <w:t>3.08</w:t>
        <w:tab/>
        <w:t>3.08</w:t>
        <w:tab/>
      </w:r>
    </w:p>
    <w:p>
      <w:pPr>
        <w:pStyle w:val="Normal"/>
        <w:rPr/>
      </w:pPr>
      <w:r>
        <w:rPr/>
        <w:tab/>
        <w:t>Basis</w:t>
        <w:tab/>
        <w:tab/>
        <w:t>0.10</w:t>
        <w:tab/>
        <w:t>0.08</w:t>
        <w:tab/>
        <w:t>0.04</w:t>
        <w:tab/>
        <w:t>0.07</w:t>
      </w:r>
    </w:p>
    <w:p>
      <w:pPr>
        <w:pStyle w:val="Normal"/>
        <w:rPr/>
      </w:pPr>
      <w:r>
        <w:rPr/>
        <w:tab/>
        <w:t>Phys Index</w:t>
        <w:tab/>
        <w:t>0.01</w:t>
        <w:tab/>
        <w:t>0.02</w:t>
        <w:tab/>
        <w:t>0.02</w:t>
        <w:tab/>
        <w:t>0.02</w:t>
      </w:r>
    </w:p>
    <w:p>
      <w:pPr>
        <w:pStyle w:val="Normal"/>
        <w:rPr/>
      </w:pPr>
      <w:r>
        <w:rPr/>
        <w:tab/>
        <w:t>GD Index</w:t>
        <w:tab/>
        <w:t>0.00</w:t>
        <w:tab/>
        <w:t>0.02</w:t>
        <w:tab/>
        <w:t>0.02</w:t>
        <w:tab/>
        <w:t>0.02</w:t>
      </w:r>
    </w:p>
    <w:p>
      <w:pPr>
        <w:pStyle w:val="Normal"/>
        <w:rPr/>
      </w:pPr>
      <w:r>
        <w:rPr/>
        <w:tab/>
        <w:t>Phys-IM</w:t>
        <w:tab/>
        <w:tab/>
        <w:tab/>
        <w:tab/>
        <w:t>3.22</w:t>
        <w:tab/>
        <w:t>3.30</w:t>
      </w:r>
    </w:p>
    <w:p>
      <w:pPr>
        <w:pStyle w:val="Normal"/>
        <w:rPr/>
      </w:pPr>
      <w:r>
        <w:rPr/>
        <w:tab/>
        <w:t>GDP-IM</w:t>
        <w:tab/>
        <w:tab/>
        <w:tab/>
        <w:tab/>
        <w:t>3.20</w:t>
        <w:tab/>
        <w:t>3.27</w:t>
      </w:r>
    </w:p>
    <w:p>
      <w:pPr>
        <w:pStyle w:val="Normal"/>
        <w:rPr/>
      </w:pPr>
      <w:r>
        <w:rPr/>
      </w:r>
    </w:p>
    <w:p>
      <w:pPr>
        <w:pStyle w:val="Normal"/>
        <w:rPr/>
      </w:pPr>
      <w:r>
        <w:rPr/>
      </w:r>
    </w:p>
    <w:p>
      <w:pPr>
        <w:pStyle w:val="Normal"/>
        <w:rPr/>
      </w:pPr>
      <w:r>
        <w:rPr/>
      </w:r>
    </w:p>
    <w:p>
      <w:pPr>
        <w:pStyle w:val="Normal"/>
        <w:rPr/>
      </w:pPr>
      <w:r>
        <w:rPr/>
        <w:t>Eg #1</w:t>
        <w:tab/>
        <w:t>Long 1 contract of prompt month physical index gas</w:t>
      </w:r>
    </w:p>
    <w:p>
      <w:pPr>
        <w:pStyle w:val="Normal"/>
        <w:rPr/>
      </w:pPr>
      <w:r>
        <w:rPr/>
      </w:r>
    </w:p>
    <w:p>
      <w:pPr>
        <w:pStyle w:val="Normal"/>
        <w:rPr/>
      </w:pPr>
      <w:r>
        <w:rPr/>
      </w:r>
    </w:p>
    <w:p>
      <w:pPr>
        <w:pStyle w:val="Normal"/>
        <w:rPr/>
      </w:pPr>
      <w:r>
        <w:rPr/>
        <w:tab/>
        <w:t>Day 2:</w:t>
        <w:tab/>
        <w:t>Start of bid week</w:t>
      </w:r>
    </w:p>
    <w:p>
      <w:pPr>
        <w:pStyle w:val="Normal"/>
        <w:ind w:firstLine="720" w:end="0"/>
        <w:rPr/>
      </w:pPr>
      <w:r>
        <w:rPr/>
      </w:r>
    </w:p>
    <w:p>
      <w:pPr>
        <w:pStyle w:val="Normal"/>
        <w:ind w:firstLine="720" w:start="720" w:end="0"/>
        <w:rPr/>
      </w:pPr>
      <w:r>
        <w:rPr/>
        <w:t>Curve Shift  = [0.02 – 0.01] = 0.01</w:t>
      </w:r>
    </w:p>
    <w:p>
      <w:pPr>
        <w:pStyle w:val="Normal"/>
        <w:rPr/>
      </w:pPr>
      <w:r>
        <w:rPr/>
        <w:tab/>
      </w:r>
    </w:p>
    <w:p>
      <w:pPr>
        <w:pStyle w:val="Normal"/>
        <w:rPr/>
      </w:pPr>
      <w:r>
        <w:rPr/>
      </w:r>
    </w:p>
    <w:p>
      <w:pPr>
        <w:pStyle w:val="BodyTextIndent"/>
        <w:rPr/>
      </w:pPr>
      <w:r>
        <w:rPr/>
        <w:t>Day 3:</w:t>
        <w:tab/>
        <w:t>Nymex Settles and prompt IM curves set for first time (note: these 2 events do not necessarily occur on the same day)</w:t>
      </w:r>
    </w:p>
    <w:p>
      <w:pPr>
        <w:pStyle w:val="Normal"/>
        <w:ind w:firstLine="720" w:end="0"/>
        <w:rPr/>
      </w:pPr>
      <w:r>
        <w:rPr/>
      </w:r>
    </w:p>
    <w:p>
      <w:pPr>
        <w:pStyle w:val="Normal"/>
        <w:ind w:firstLine="720" w:end="0"/>
        <w:rPr/>
      </w:pPr>
      <w:r>
        <w:rPr/>
        <w:tab/>
        <w:t>Notional Curve Shift = Phys IM(3) – [ Price(2) + Basis(2) + Phys Index(2) ]</w:t>
        <w:tab/>
        <w:t xml:space="preserve"> </w:t>
      </w:r>
    </w:p>
    <w:p>
      <w:pPr>
        <w:pStyle w:val="Normal"/>
        <w:rPr/>
      </w:pPr>
      <w:r>
        <w:rPr/>
        <w:tab/>
      </w:r>
    </w:p>
    <w:p>
      <w:pPr>
        <w:pStyle w:val="Normal"/>
        <w:rPr/>
      </w:pPr>
      <w:r>
        <w:rPr/>
        <w:tab/>
        <w:tab/>
        <w:tab/>
        <w:tab/>
        <w:t xml:space="preserve">      = 3.22 – [ 3.10 + 0.08 + 0.02 ]  = 0.02</w:t>
      </w:r>
    </w:p>
    <w:p>
      <w:pPr>
        <w:pStyle w:val="Normal"/>
        <w:rPr/>
      </w:pPr>
      <w:r>
        <w:rPr/>
      </w:r>
    </w:p>
    <w:p>
      <w:pPr>
        <w:pStyle w:val="Normal"/>
        <w:rPr/>
      </w:pPr>
      <w:r>
        <w:rPr/>
        <w:tab/>
        <w:tab/>
        <w:tab/>
        <w:t xml:space="preserve">   </w:t>
      </w:r>
    </w:p>
    <w:p>
      <w:pPr>
        <w:pStyle w:val="Normal"/>
        <w:rPr/>
      </w:pPr>
      <w:r>
        <w:rPr/>
        <w:tab/>
        <w:tab/>
        <w:t>Change Price Shift = [ Price(3) + Basis(3) ] – [ Price(2) + Basis(2) ] * -1</w:t>
      </w:r>
    </w:p>
    <w:p>
      <w:pPr>
        <w:pStyle w:val="Normal"/>
        <w:rPr/>
      </w:pPr>
      <w:r>
        <w:rPr/>
      </w:r>
    </w:p>
    <w:p>
      <w:pPr>
        <w:pStyle w:val="Normal"/>
        <w:rPr/>
      </w:pPr>
      <w:r>
        <w:rPr/>
        <w:tab/>
        <w:tab/>
        <w:tab/>
        <w:tab/>
        <w:t xml:space="preserve">   = [[ 3.08 + 0.04 ] – [ 3.10 + 0.08 ]] * -1 = 0.06</w:t>
      </w:r>
    </w:p>
    <w:p>
      <w:pPr>
        <w:pStyle w:val="Normal"/>
        <w:rPr/>
      </w:pPr>
      <w:r>
        <w:rPr/>
      </w:r>
    </w:p>
    <w:p>
      <w:pPr>
        <w:pStyle w:val="Normal"/>
        <w:rPr/>
      </w:pPr>
      <w:r>
        <w:rPr/>
      </w:r>
    </w:p>
    <w:p>
      <w:pPr>
        <w:pStyle w:val="Normal"/>
        <w:rPr/>
      </w:pPr>
      <w:r>
        <w:rPr/>
        <w:tab/>
        <w:tab/>
        <w:t xml:space="preserve">TOTAL CURVE SHIFT = 0.02 + 0.06 = 0.08 </w:t>
      </w:r>
    </w:p>
    <w:p>
      <w:pPr>
        <w:pStyle w:val="Normal"/>
        <w:rPr/>
      </w:pPr>
      <w:r>
        <w:rPr/>
        <w:t xml:space="preserve"> </w:t>
      </w:r>
    </w:p>
    <w:p>
      <w:pPr>
        <w:pStyle w:val="Normal"/>
        <w:rPr/>
      </w:pPr>
      <w:r>
        <w:rPr/>
      </w:r>
    </w:p>
    <w:p>
      <w:pPr>
        <w:pStyle w:val="Normal"/>
        <w:rPr/>
      </w:pPr>
      <w:r>
        <w:rPr/>
        <w:tab/>
        <w:t>Day 4:</w:t>
        <w:tab/>
        <w:t>Second day of prompt IM curve</w:t>
      </w:r>
    </w:p>
    <w:p>
      <w:pPr>
        <w:pStyle w:val="Normal"/>
        <w:rPr/>
      </w:pPr>
      <w:r>
        <w:rPr/>
      </w:r>
    </w:p>
    <w:p>
      <w:pPr>
        <w:pStyle w:val="Normal"/>
        <w:ind w:firstLine="720" w:end="0"/>
        <w:rPr/>
      </w:pPr>
      <w:r>
        <w:rPr/>
        <w:tab/>
        <w:t>Notional Curve Shift = Phys IM(4) – Phys IM(3)</w:t>
        <w:tab/>
        <w:t xml:space="preserve"> </w:t>
      </w:r>
    </w:p>
    <w:p>
      <w:pPr>
        <w:pStyle w:val="Normal"/>
        <w:rPr/>
      </w:pPr>
      <w:r>
        <w:rPr/>
        <w:tab/>
      </w:r>
    </w:p>
    <w:p>
      <w:pPr>
        <w:pStyle w:val="Normal"/>
        <w:rPr/>
      </w:pPr>
      <w:r>
        <w:rPr/>
        <w:tab/>
        <w:tab/>
        <w:tab/>
        <w:tab/>
        <w:t xml:space="preserve">      = 3.30 – 3.22 = 0.08</w:t>
      </w:r>
    </w:p>
    <w:p>
      <w:pPr>
        <w:pStyle w:val="Normal"/>
        <w:rPr/>
      </w:pPr>
      <w:r>
        <w:rPr/>
      </w:r>
    </w:p>
    <w:p>
      <w:pPr>
        <w:pStyle w:val="Normal"/>
        <w:rPr/>
      </w:pPr>
      <w:r>
        <w:rPr/>
        <w:tab/>
        <w:tab/>
        <w:tab/>
        <w:t xml:space="preserve">   </w:t>
      </w:r>
    </w:p>
    <w:p>
      <w:pPr>
        <w:pStyle w:val="Normal"/>
        <w:rPr/>
      </w:pPr>
      <w:r>
        <w:rPr/>
        <w:tab/>
        <w:tab/>
        <w:t>Change Price Shift = [[ Price(4) + Basis(4) ] – [ Price(3) + Basis(3) ]] * -1</w:t>
      </w:r>
    </w:p>
    <w:p>
      <w:pPr>
        <w:pStyle w:val="Normal"/>
        <w:rPr/>
      </w:pPr>
      <w:r>
        <w:rPr/>
      </w:r>
    </w:p>
    <w:p>
      <w:pPr>
        <w:pStyle w:val="Normal"/>
        <w:rPr/>
      </w:pPr>
      <w:r>
        <w:rPr/>
        <w:tab/>
        <w:tab/>
        <w:tab/>
        <w:tab/>
        <w:t xml:space="preserve">  = [[ 3.08 + 0.07 ] – [ 3.10 + 0.04 ]] * -1 = (0.03)</w:t>
      </w:r>
    </w:p>
    <w:p>
      <w:pPr>
        <w:pStyle w:val="Normal"/>
        <w:rPr/>
      </w:pPr>
      <w:r>
        <w:rPr/>
      </w:r>
    </w:p>
    <w:p>
      <w:pPr>
        <w:pStyle w:val="Normal"/>
        <w:rPr/>
      </w:pPr>
      <w:r>
        <w:rPr/>
      </w:r>
    </w:p>
    <w:p>
      <w:pPr>
        <w:pStyle w:val="Normal"/>
        <w:ind w:firstLine="720" w:start="720" w:end="0"/>
        <w:rPr/>
      </w:pPr>
      <w:r>
        <w:rPr/>
        <w:t>TOTAL CURVE SHIFT = 0.08 + (0.03) = 0.07</w:t>
      </w:r>
    </w:p>
    <w:p>
      <w:pPr>
        <w:pStyle w:val="Normal"/>
        <w:ind w:firstLine="720" w:start="720" w:end="0"/>
        <w:rPr/>
      </w:pPr>
      <w:r>
        <w:rPr/>
      </w:r>
    </w:p>
    <w:p>
      <w:pPr>
        <w:pStyle w:val="Normal"/>
        <w:ind w:firstLine="720" w:start="720" w:end="0"/>
        <w:rPr/>
      </w:pPr>
      <w:r>
        <w:rPr/>
      </w:r>
    </w:p>
    <w:p>
      <w:pPr>
        <w:pStyle w:val="Normal"/>
        <w:ind w:firstLine="720" w:start="720" w:end="0"/>
        <w:rPr/>
      </w:pPr>
      <w:r>
        <w:rPr/>
      </w:r>
    </w:p>
    <w:p>
      <w:pPr>
        <w:pStyle w:val="Normal"/>
        <w:ind w:firstLine="720" w:start="720" w:end="0"/>
        <w:rPr/>
      </w:pPr>
      <w:r>
        <w:rPr/>
      </w:r>
    </w:p>
    <w:p>
      <w:pPr>
        <w:pStyle w:val="Normal"/>
        <w:ind w:firstLine="720" w:start="720" w:end="0"/>
        <w:rPr/>
      </w:pPr>
      <w:r>
        <w:rPr/>
      </w:r>
    </w:p>
    <w:p>
      <w:pPr>
        <w:pStyle w:val="Normal"/>
        <w:ind w:firstLine="720" w:start="720" w:end="0"/>
        <w:rPr/>
      </w:pPr>
      <w:r>
        <w:rPr/>
      </w:r>
    </w:p>
    <w:p>
      <w:pPr>
        <w:pStyle w:val="Heading1"/>
        <w:ind w:hanging="0" w:start="0"/>
        <w:rPr/>
      </w:pPr>
      <w:r>
        <w:rPr/>
        <w:t>Summary / Action Plan</w:t>
      </w:r>
    </w:p>
    <w:p>
      <w:pPr>
        <w:pStyle w:val="Normal"/>
        <w:rPr/>
      </w:pPr>
      <w:r>
        <w:rPr/>
      </w:r>
    </w:p>
    <w:p>
      <w:pPr>
        <w:pStyle w:val="Normal"/>
        <w:rPr/>
      </w:pPr>
      <w:r>
        <w:rPr/>
      </w:r>
    </w:p>
    <w:p>
      <w:pPr>
        <w:pStyle w:val="Normal"/>
        <w:numPr>
          <w:ilvl w:val="0"/>
          <w:numId w:val="2"/>
        </w:numPr>
        <w:rPr/>
      </w:pPr>
      <w:r>
        <w:rPr/>
        <w:t>Design logic in ERMS to separate Gas Daily index deals into GDP-xxx/Index and GRP-xxx/IM</w:t>
      </w:r>
    </w:p>
    <w:p>
      <w:pPr>
        <w:pStyle w:val="Normal"/>
        <w:numPr>
          <w:ilvl w:val="0"/>
          <w:numId w:val="2"/>
        </w:numPr>
        <w:rPr/>
      </w:pPr>
      <w:r>
        <w:rPr/>
        <w:t>Rolling of the positions from GPD-xxx/Index to /IM needs to be triggered manually each month by risk group.</w:t>
      </w:r>
    </w:p>
    <w:p>
      <w:pPr>
        <w:pStyle w:val="Normal"/>
        <w:numPr>
          <w:ilvl w:val="0"/>
          <w:numId w:val="2"/>
        </w:numPr>
        <w:rPr/>
      </w:pPr>
      <w:r>
        <w:rPr/>
        <w:t>Insure that VaR no longer views GDP/Index positions as fixed price.</w:t>
      </w:r>
    </w:p>
    <w:p>
      <w:pPr>
        <w:pStyle w:val="Normal"/>
        <w:numPr>
          <w:ilvl w:val="0"/>
          <w:numId w:val="2"/>
        </w:numPr>
        <w:rPr/>
      </w:pPr>
      <w:r>
        <w:rPr/>
        <w:t>Build a “percentage of index established” matrix which will be used to decay/roll positions in ERMS for VaR calculations.</w:t>
      </w:r>
    </w:p>
    <w:p>
      <w:pPr>
        <w:pStyle w:val="Normal"/>
        <w:numPr>
          <w:ilvl w:val="0"/>
          <w:numId w:val="2"/>
        </w:numPr>
        <w:rPr/>
      </w:pPr>
      <w:r>
        <w:rPr/>
        <w:t>Hedge strips fed to TDS will continue to provide 100% (grossed up) positions (not decayed positinos used by VaR).</w:t>
      </w:r>
    </w:p>
    <w:p>
      <w:pPr>
        <w:pStyle w:val="Normal"/>
        <w:numPr>
          <w:ilvl w:val="0"/>
          <w:numId w:val="2"/>
        </w:numPr>
        <w:rPr/>
      </w:pPr>
      <w:r>
        <w:rPr/>
        <w:t>Design logic in TDS to calculate change price shift on physical and gas daily index deals.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s>
      <w:ind w:hanging="72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2000-10-17T05:52:00Z</dcterms:created>
  <dc:creator>kholst</dc:creator>
  <dc:description/>
  <dc:language>en-CA</dc:language>
  <cp:lastModifiedBy>kholst</cp:lastModifiedBy>
  <cp:lastPrinted>2000-10-20T02:30:00Z</cp:lastPrinted>
  <dcterms:modified xsi:type="dcterms:W3CDTF">2000-10-20T05:00:00Z</dcterms:modified>
  <cp:revision>18</cp:revision>
  <dc:subject/>
  <dc:title>TREATMENT OF MONTHLY/DAILY EXPOSURE</dc:title>
</cp:coreProperties>
</file>