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5760" w:end="0"/>
        <w:rPr>
          <w:sz w:val="24"/>
        </w:rPr>
      </w:pPr>
      <w:r>
        <w:rPr>
          <w:sz w:val="24"/>
        </w:rPr>
        <w:t>Claudia Johnson</w:t>
      </w:r>
    </w:p>
    <w:p>
      <w:pPr>
        <w:pStyle w:val="Normal"/>
        <w:ind w:firstLine="5760" w:end="0"/>
        <w:rPr>
          <w:sz w:val="24"/>
        </w:rPr>
      </w:pPr>
      <w:r>
        <w:rPr>
          <w:sz w:val="24"/>
        </w:rPr>
        <w:t>Enron Broadband Services</w:t>
      </w:r>
    </w:p>
    <w:p>
      <w:pPr>
        <w:pStyle w:val="Normal"/>
        <w:ind w:firstLine="5760" w:end="0"/>
        <w:rPr>
          <w:sz w:val="24"/>
        </w:rPr>
      </w:pPr>
      <w:r>
        <w:rPr>
          <w:sz w:val="24"/>
        </w:rPr>
        <w:t>503-886-0666</w:t>
      </w:r>
    </w:p>
    <w:p>
      <w:pPr>
        <w:pStyle w:val="Normal"/>
        <w:ind w:firstLine="5760" w:end="0"/>
        <w:rPr>
          <w:sz w:val="24"/>
        </w:rPr>
      </w:pPr>
      <w:hyperlink r:id="rId2">
        <w:r>
          <w:rPr>
            <w:rStyle w:val="Hyperlink"/>
            <w:sz w:val="24"/>
          </w:rPr>
          <w:t>claudia_johnson@enron.net</w:t>
        </w:r>
      </w:hyperlink>
    </w:p>
    <w:p>
      <w:pPr>
        <w:pStyle w:val="Normal"/>
        <w:ind w:firstLine="5760" w:end="0"/>
        <w:rPr>
          <w:sz w:val="24"/>
        </w:rPr>
      </w:pPr>
      <w:r>
        <w:rPr>
          <w:sz w:val="24"/>
        </w:rPr>
      </w:r>
    </w:p>
    <w:p>
      <w:pPr>
        <w:pStyle w:val="Normal"/>
        <w:ind w:firstLine="5760" w:end="0"/>
        <w:rPr>
          <w:sz w:val="24"/>
        </w:rPr>
      </w:pPr>
      <w:r>
        <w:rPr>
          <w:sz w:val="24"/>
        </w:rPr>
        <w:t>Rich Williams</w:t>
      </w:r>
    </w:p>
    <w:p>
      <w:pPr>
        <w:pStyle w:val="Normal"/>
        <w:ind w:firstLine="5760" w:end="0"/>
        <w:rPr>
          <w:sz w:val="24"/>
        </w:rPr>
      </w:pPr>
      <w:r>
        <w:rPr>
          <w:sz w:val="24"/>
        </w:rPr>
        <w:t>Sycamore Networks</w:t>
      </w:r>
    </w:p>
    <w:p>
      <w:pPr>
        <w:pStyle w:val="Normal"/>
        <w:ind w:firstLine="5760" w:end="0"/>
        <w:rPr>
          <w:sz w:val="24"/>
        </w:rPr>
      </w:pPr>
      <w:r>
        <w:rPr>
          <w:sz w:val="24"/>
        </w:rPr>
        <w:t>978-250-2909</w:t>
      </w:r>
    </w:p>
    <w:p>
      <w:pPr>
        <w:pStyle w:val="Normal"/>
        <w:ind w:firstLine="5760" w:end="0"/>
        <w:rPr>
          <w:sz w:val="24"/>
        </w:rPr>
      </w:pPr>
      <w:r>
        <w:rPr>
          <w:sz w:val="24"/>
        </w:rPr>
        <w:t>richard.williams@sycamorenet.com</w:t>
      </w:r>
    </w:p>
    <w:p>
      <w:pPr>
        <w:pStyle w:val="Normal"/>
        <w:rPr>
          <w:sz w:val="24"/>
        </w:rPr>
      </w:pPr>
      <w:r>
        <w:rPr>
          <w:sz w:val="24"/>
        </w:rPr>
      </w:r>
    </w:p>
    <w:p>
      <w:pPr>
        <w:pStyle w:val="Normal"/>
        <w:rPr/>
      </w:pPr>
      <w:r>
        <w:rPr/>
      </w:r>
    </w:p>
    <w:p>
      <w:pPr>
        <w:pStyle w:val="BodyText"/>
        <w:rPr>
          <w:b/>
          <w:u w:val="single"/>
        </w:rPr>
      </w:pPr>
      <w:r>
        <w:rPr>
          <w:b/>
          <w:u w:val="single"/>
        </w:rPr>
        <w:t>ENRON BROADBAND SERVICES, SYCAMORE NETWORKS</w:t>
      </w:r>
    </w:p>
    <w:p>
      <w:pPr>
        <w:pStyle w:val="BodyText"/>
        <w:rPr>
          <w:b/>
          <w:u w:val="single"/>
        </w:rPr>
      </w:pPr>
      <w:r>
        <w:rPr>
          <w:b/>
          <w:u w:val="single"/>
        </w:rPr>
        <w:t>TO EXTEND NATIONWIDE OPTICAL NETWORK</w:t>
      </w:r>
    </w:p>
    <w:p>
      <w:pPr>
        <w:pStyle w:val="BodyText2"/>
        <w:rPr>
          <w:b w:val="false"/>
          <w:u w:val="single"/>
        </w:rPr>
      </w:pPr>
      <w:r>
        <w:rPr>
          <w:b w:val="false"/>
          <w:u w:val="single"/>
        </w:rPr>
      </w:r>
    </w:p>
    <w:p>
      <w:pPr>
        <w:pStyle w:val="BodyText2"/>
        <w:jc w:val="start"/>
        <w:rPr>
          <w:b w:val="false"/>
        </w:rPr>
      </w:pPr>
      <w:r>
        <w:rPr>
          <w:b w:val="false"/>
        </w:rPr>
        <w:t>FOR IMMEDIATE RELEASE: Monday, Jan. 31, 2000</w:t>
      </w:r>
    </w:p>
    <w:p>
      <w:pPr>
        <w:pStyle w:val="BodyText2"/>
        <w:jc w:val="start"/>
        <w:rPr>
          <w:b w:val="false"/>
        </w:rPr>
      </w:pPr>
      <w:r>
        <w:rPr>
          <w:b w:val="false"/>
        </w:rPr>
      </w:r>
    </w:p>
    <w:p>
      <w:pPr>
        <w:pStyle w:val="Normal"/>
        <w:spacing w:lineRule="auto" w:line="360"/>
        <w:ind w:firstLine="720" w:end="0"/>
        <w:rPr>
          <w:sz w:val="24"/>
        </w:rPr>
      </w:pPr>
      <w:r>
        <w:rPr>
          <w:b/>
          <w:sz w:val="24"/>
        </w:rPr>
        <w:t xml:space="preserve">HOUSTON – </w:t>
      </w:r>
      <w:r>
        <w:rPr>
          <w:sz w:val="24"/>
        </w:rPr>
        <w:t xml:space="preserve">Enron Broadband Services (EBS), a wholly owned subsidiary of Enron Corp. and a leader in the delivery of broadband delivery services, announced today an agreement with </w:t>
      </w:r>
      <w:r>
        <w:rPr>
          <w:sz w:val="24"/>
          <w:lang w:eastAsia="en-US"/>
        </w:rPr>
        <w:t xml:space="preserve">Sycamore Networks (NASDAQ: SCMR), a leader in intelligent optical networking, to use Sycamore’s switching and transport </w:t>
      </w:r>
      <w:r>
        <w:rPr>
          <w:sz w:val="24"/>
        </w:rPr>
        <w:t xml:space="preserve">products in new long-haul and metropolitan area routes </w:t>
      </w:r>
      <w:r>
        <w:rPr>
          <w:sz w:val="24"/>
          <w:lang w:eastAsia="en-US"/>
        </w:rPr>
        <w:t>on the Enron Intelligent Network (EIN).</w:t>
      </w:r>
    </w:p>
    <w:p>
      <w:pPr>
        <w:pStyle w:val="Normal"/>
        <w:spacing w:lineRule="auto" w:line="360"/>
        <w:ind w:firstLine="720" w:end="0"/>
        <w:rPr/>
      </w:pPr>
      <w:r>
        <w:rPr>
          <w:sz w:val="24"/>
        </w:rPr>
        <w:t>“</w:t>
      </w:r>
      <w:r>
        <w:rPr>
          <w:sz w:val="24"/>
        </w:rPr>
        <w:t>Enron is deploying the most flexible and efficient broadband network in the world.  The ability to dynamically manage bandwidth at the optical layer will accelerate the deployment of broadband services and speed development of bandwidth markets,” said Ken Rice, co-CEO of Enron Broadband Services.  “With this agreement, Sycamore Networks will provide a key component of that network.”</w:t>
      </w:r>
    </w:p>
    <w:p>
      <w:pPr>
        <w:pStyle w:val="Normal"/>
        <w:spacing w:lineRule="auto" w:line="360"/>
        <w:ind w:firstLine="720" w:end="0"/>
        <w:rPr/>
      </w:pPr>
      <w:r>
        <w:rPr>
          <w:sz w:val="24"/>
          <w:lang w:eastAsia="en-US"/>
        </w:rPr>
        <w:t>The three-year contract between the two telecommunications pioneers could be worth up to $200 million</w:t>
      </w:r>
      <w:r>
        <w:rPr>
          <w:sz w:val="24"/>
        </w:rPr>
        <w:t>.  Enron also may incorporate SILVX™, Sycamore’s Optical Network Management System (ONMS), directly into the EIN management system to manage the Sycamore products in the Enron network</w:t>
      </w:r>
    </w:p>
    <w:p>
      <w:pPr>
        <w:pStyle w:val="Normal"/>
        <w:spacing w:lineRule="auto" w:line="360"/>
        <w:ind w:firstLine="720" w:end="0"/>
        <w:rPr>
          <w:sz w:val="24"/>
        </w:rPr>
      </w:pPr>
      <w:r>
        <w:rPr>
          <w:sz w:val="24"/>
        </w:rPr>
        <w:t>“</w:t>
      </w:r>
      <w:r>
        <w:rPr>
          <w:sz w:val="24"/>
        </w:rPr>
        <w:t>Open, standards-based, programmatic control of the optical domain must be central to the communications infrastructure,” said John Griebling, EBS vice president of network engineering and operations.  “Sycamore’s commitment to this principle and its demonstrated ability to execute, coupled with some of the best minds in optical technology and virtual networking, make it a solid choice for the EIN.  We look forward to setting the bar for service delivery best practices in broadband communications.”</w:t>
      </w:r>
    </w:p>
    <w:p>
      <w:pPr>
        <w:pStyle w:val="Normal"/>
        <w:spacing w:lineRule="auto" w:line="360"/>
        <w:ind w:firstLine="720" w:end="0"/>
        <w:rPr>
          <w:sz w:val="24"/>
        </w:rPr>
      </w:pPr>
      <w:r>
        <w:rPr>
          <w:sz w:val="24"/>
        </w:rPr>
        <w:t>“</w:t>
      </w:r>
      <w:r>
        <w:rPr>
          <w:sz w:val="24"/>
        </w:rPr>
        <w:t>In today’s competitive marketplace, service providers need to react quickly to service opportunities.  Enron Broadband Services is building the leading broadband platform to ensure delivery of the next generation of broadband content and applications,” said Daniel E. Smith, Sycamore’s president and CEO.  “The Enron Intelligent Network will be able to quickly and cost-effectively deploy and redeploy network resources to meet the bandwidth and service needs of their customers.”</w:t>
      </w:r>
    </w:p>
    <w:p>
      <w:pPr>
        <w:pStyle w:val="Heading1"/>
        <w:ind w:hanging="0" w:start="0"/>
        <w:rPr/>
      </w:pPr>
      <w:r>
        <w:rPr/>
        <w:t>About the Enron Intelligent Network</w:t>
      </w:r>
    </w:p>
    <w:p>
      <w:pPr>
        <w:pStyle w:val="Normal"/>
        <w:spacing w:lineRule="auto" w:line="360"/>
        <w:ind w:firstLine="720" w:end="0"/>
        <w:rPr/>
      </w:pPr>
      <w:r>
        <w:rPr>
          <w:sz w:val="24"/>
        </w:rPr>
        <w:t xml:space="preserve">The Enron Intelligent Network is an architecture based on a unique approach to networking through distributed servers, Enron Broadband Services’ InterAgent® middleware and Enron Broadband Services’ Pure IP™ technology.  The intelligence of the network comes from Enron Broadband Services’ standards-based InterAgent, a real-time intelligent messaging technology that supports the development and maintenance of distributed applications across diverse network environments.  The Enron Intelligent Network brings to market a reliable, bandwidth-on-demand platform for delivering data, applications and streaming rich media to the desktop.  The Enron Intelligent Network allows customers to access on-the-fly capacity, tiered quality of service, data, and application and content capabilities purchased entirely on an as-used basis. </w:t>
      </w:r>
    </w:p>
    <w:p>
      <w:pPr>
        <w:pStyle w:val="Heading1"/>
        <w:ind w:hanging="0" w:start="0"/>
        <w:rPr/>
      </w:pPr>
      <w:r>
        <w:rPr/>
        <w:t>About Enron Broadband Services</w:t>
      </w:r>
    </w:p>
    <w:p>
      <w:pPr>
        <w:pStyle w:val="Normal"/>
        <w:spacing w:lineRule="auto" w:line="360"/>
        <w:rPr/>
      </w:pPr>
      <w:r>
        <w:rPr>
          <w:sz w:val="24"/>
        </w:rPr>
        <w:tab/>
        <w:t xml:space="preserve">Enron Broadband Services, formerly Enron Communications, Inc., is a leading provider of high quality, broadband Internet content and applications.  The company’s business model combines the power of the Enron Intelligent Network, Enron’s Broadband Operating System (BOS), bandwidth trading and intermediation services, and high-bandwidth applications, to fundamentally improve the experience and functionality of the Internet.  Enron introduces its Broadband Operating System to allow application developers to dynamically provision bandwidth on demand for the end-to-end quality of service necessary to deliver broadband content.  Enron also has created a market for bandwidth that will allow network providers to scale to meet the demands that increasingly complex applications require.  A wholly owned subsidiary of Enron Corp. (NYSE: ENE), Enron Broadband Services can be found on the Web at </w:t>
      </w:r>
      <w:hyperlink r:id="rId3">
        <w:r>
          <w:rPr>
            <w:rStyle w:val="Hyperlink"/>
          </w:rPr>
          <w:t>www.enron.net</w:t>
        </w:r>
      </w:hyperlink>
      <w:r>
        <w:rPr>
          <w:sz w:val="24"/>
        </w:rPr>
        <w:t>.</w:t>
      </w:r>
    </w:p>
    <w:p>
      <w:pPr>
        <w:pStyle w:val="Normal"/>
        <w:spacing w:lineRule="auto" w:line="360"/>
        <w:ind w:firstLine="720" w:end="0"/>
        <w:rPr>
          <w:sz w:val="24"/>
        </w:rPr>
      </w:pPr>
      <w:r>
        <w:rPr>
          <w:color w:val="000000"/>
          <w:sz w:val="24"/>
          <w:lang w:eastAsia="en-US"/>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www.enron.com, and the stock is traded under the ticker symbol, “ENE.”</w:t>
      </w:r>
    </w:p>
    <w:p>
      <w:pPr>
        <w:pStyle w:val="BodyText"/>
        <w:spacing w:lineRule="auto" w:line="360"/>
        <w:rPr>
          <w:b/>
        </w:rPr>
      </w:pPr>
      <w:r>
        <w:rPr>
          <w:b/>
        </w:rPr>
        <w:t>About Sycamore Networks</w:t>
      </w:r>
    </w:p>
    <w:p>
      <w:pPr>
        <w:pStyle w:val="BodyTextIndent"/>
        <w:rPr/>
      </w:pPr>
      <w:r>
        <w:rPr/>
        <w:t xml:space="preserve">Sycamore Networks develops and markets intelligent optical networking products that transport voice and data traffic over wavelengths of light.  The Company combines significant experience in data networking with expertise in optics to develop intelligent optical networking solutions for network service providers.  Sycamore’s products are based on a common software foundation, enabling concentration on the delivery of services and end-to-end optical networking.  Sycamore’s products and product plans include optical transport, access and switching systems and end-to-end optical network management solutions.  Contact Sycamore Networks at </w:t>
      </w:r>
      <w:hyperlink r:id="rId4">
        <w:r>
          <w:rPr>
            <w:rStyle w:val="Hyperlink"/>
          </w:rPr>
          <w:t>www.sycamorenet.com</w:t>
        </w:r>
      </w:hyperlink>
      <w:r>
        <w:rPr/>
        <w:t>.</w:t>
      </w:r>
    </w:p>
    <w:p>
      <w:pPr>
        <w:pStyle w:val="BodyTextIndent"/>
        <w:ind w:start="3600" w:end="0"/>
        <w:rPr/>
      </w:pPr>
      <w:r>
        <w:rPr/>
        <w:t>###</w:t>
      </w:r>
    </w:p>
    <w:p>
      <w:pPr>
        <w:pStyle w:val="Normal"/>
        <w:rPr>
          <w:sz w:val="18"/>
        </w:rPr>
      </w:pPr>
      <w:r>
        <w:rPr/>
        <w:t xml:space="preserve">For Sycamore: Except for the historical information contained herein, we wish to caution you that certain matters, including statements about the value of the agreement, discussed in this news release constitute forward-looking statements that involve risks and uncertainties.  The Company’s actual results could differ materially from those stated or implied in forward-looking statements due to the a number of factors, including whether the agreement is cancelled by either party before any significant purchases are made and those risks and uncertainties discussed under the heading ‘Risk Factors’ contained in the Company’s Registration Statement on Form S-1 (file no. 333-84635) filed by the Company in connection with its initial public offering and which became effective October 21, 1999 and </w:t>
      </w:r>
      <w:r>
        <w:rPr>
          <w:lang w:eastAsia="en-US"/>
        </w:rPr>
        <w:t>the other reports filed by the Company from time to time with the Securities and Exchange Commission</w:t>
      </w:r>
      <w:r>
        <w:rPr/>
        <w:t>.  Forward looking statements include statements regarding the Company’s expectations, beliefs, intentions or strategies regarding the future and can be identified by forward-looking words such as “anticipate,” “believe,” “could,” “estimate,” “expect,” “intend,” “may, “should,” “will,” and “would” or similar words.  The Company assumes no obligations to update the information included in this press release.</w:t>
      </w:r>
    </w:p>
    <w:p>
      <w:pPr>
        <w:pStyle w:val="Normal"/>
        <w:rPr>
          <w:sz w:val="18"/>
        </w:rPr>
      </w:pPr>
      <w:r>
        <w:rPr>
          <w:sz w:val="1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4"/>
    </w:rPr>
  </w:style>
  <w:style w:type="paragraph" w:styleId="BodyTextIndent">
    <w:name w:val="Body Text Indent"/>
    <w:basedOn w:val="Normal"/>
    <w:pPr>
      <w:spacing w:lineRule="auto" w:line="360"/>
      <w:ind w:firstLine="720" w:start="0" w:end="0"/>
    </w:pPr>
    <w:rPr>
      <w:sz w:val="24"/>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CommentText">
    <w:name w:val="Comment Text"/>
    <w:basedOn w:val="Normal"/>
    <w:qFormat/>
    <w:pPr/>
    <w:rPr/>
  </w:style>
  <w:style w:type="paragraph" w:styleId="BodyText3">
    <w:name w:val="Body Text 3"/>
    <w:basedOn w:val="Normal"/>
    <w:qFormat/>
    <w:pPr>
      <w:widowControl w:val="false"/>
      <w:tabs>
        <w:tab w:val="left" w:pos="720" w:leader="none"/>
        <w:tab w:val="left" w:pos="1440" w:leader="none"/>
        <w:tab w:val="left" w:pos="4320" w:leader="none"/>
        <w:tab w:val="left" w:pos="7200" w:leader="none"/>
      </w:tabs>
      <w:spacing w:lineRule="auto" w:line="360"/>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http://www.enron.net/" TargetMode="External"/><Relationship Id="rId4" Type="http://schemas.openxmlformats.org/officeDocument/2006/relationships/hyperlink" Target="http://www.sycamorenet.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2000-01-31T09:55:00Z</dcterms:created>
  <dc:creator>Barb Ewen</dc:creator>
  <dc:description/>
  <dc:language>en-CA</dc:language>
  <cp:lastModifiedBy>bmeyer</cp:lastModifiedBy>
  <cp:lastPrinted>2000-01-26T09:37:00Z</cp:lastPrinted>
  <dcterms:modified xsi:type="dcterms:W3CDTF">2000-01-31T11:52:00Z</dcterms:modified>
  <cp:revision>5</cp:revision>
  <dc:subject/>
  <dc:title>SYCAMORE NETWORKS EXPANDS RELATIONSHIP WITH </dc:title>
</cp:coreProperties>
</file>