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Normal"/>
              <w:rPr>
                <w:sz w:val="22"/>
              </w:rPr>
            </w:pPr>
            <w:r>
              <w:rPr>
                <w:sz w:val="22"/>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962" w:end="0"/>
              <w:rPr>
                <w:b/>
                <w:sz w:val="22"/>
              </w:rPr>
            </w:pPr>
            <w:r>
              <w:rPr>
                <w:b/>
                <w:sz w:val="22"/>
              </w:rPr>
              <w:t>Enron North America Corp.</w:t>
            </w:r>
          </w:p>
          <w:p>
            <w:pPr>
              <w:pStyle w:val="Normal"/>
              <w:tabs>
                <w:tab w:val="clear" w:pos="720"/>
                <w:tab w:val="left" w:pos="2412" w:leader="none"/>
              </w:tabs>
              <w:ind w:start="1962" w:end="0"/>
              <w:rPr>
                <w:i/>
                <w:i/>
                <w:sz w:val="22"/>
              </w:rPr>
            </w:pPr>
            <w:r>
              <w:rPr>
                <w:i/>
                <w:sz w:val="22"/>
              </w:rPr>
              <w:t>1400 Smith Street</w:t>
            </w:r>
          </w:p>
          <w:p>
            <w:pPr>
              <w:pStyle w:val="Normal"/>
              <w:tabs>
                <w:tab w:val="clear" w:pos="720"/>
                <w:tab w:val="left" w:pos="2412" w:leader="none"/>
              </w:tabs>
              <w:ind w:start="1962" w:end="0"/>
              <w:rPr>
                <w:i/>
                <w:i/>
                <w:sz w:val="22"/>
              </w:rPr>
            </w:pPr>
            <w:r>
              <w:rPr>
                <w:i/>
                <w:sz w:val="22"/>
              </w:rPr>
              <w:t>Houston, TX  77002</w:t>
            </w:r>
          </w:p>
        </w:tc>
      </w:tr>
    </w:tbl>
    <w:p>
      <w:pPr>
        <w:pStyle w:val="Normal"/>
        <w:tabs>
          <w:tab w:val="clear" w:pos="720"/>
          <w:tab w:val="left" w:pos="3870" w:leader="none"/>
        </w:tabs>
        <w:jc w:val="center"/>
        <w:rPr>
          <w:b/>
          <w:sz w:val="22"/>
        </w:rPr>
      </w:pPr>
      <w:r>
        <w:rPr>
          <w:b/>
          <w:sz w:val="22"/>
        </w:rPr>
        <w:t>CONFIRMATION</w:t>
      </w:r>
    </w:p>
    <w:p>
      <w:pPr>
        <w:pStyle w:val="Normal"/>
        <w:tabs>
          <w:tab w:val="clear" w:pos="720"/>
          <w:tab w:val="left" w:pos="3870" w:leader="none"/>
        </w:tabs>
        <w:jc w:val="center"/>
        <w:rPr>
          <w:sz w:val="22"/>
        </w:rPr>
      </w:pPr>
      <w:r>
        <w:rPr>
          <w:b/>
          <w:sz w:val="22"/>
        </w:rPr>
        <w:t>(SWAP)</w:t>
      </w:r>
    </w:p>
    <w:p>
      <w:pPr>
        <w:pStyle w:val="Normal"/>
        <w:tabs>
          <w:tab w:val="clear" w:pos="720"/>
          <w:tab w:val="left" w:pos="3870" w:leader="none"/>
        </w:tabs>
        <w:rPr>
          <w:sz w:val="22"/>
        </w:rPr>
      </w:pPr>
      <w:r>
        <w:rPr>
          <w:sz w:val="22"/>
        </w:rPr>
      </w:r>
    </w:p>
    <w:p>
      <w:pPr>
        <w:pStyle w:val="Normal"/>
        <w:rPr>
          <w:sz w:val="22"/>
        </w:rPr>
      </w:pPr>
      <w:r>
        <w:rPr>
          <w:sz w:val="22"/>
        </w:rPr>
        <w:t>Date:</w:t>
        <w:tab/>
        <w:tab/>
        <w:t>April 24, 2001</w:t>
      </w:r>
    </w:p>
    <w:p>
      <w:pPr>
        <w:pStyle w:val="Normal"/>
        <w:rPr>
          <w:sz w:val="22"/>
        </w:rPr>
      </w:pPr>
      <w:r>
        <w:rPr>
          <w:sz w:val="22"/>
        </w:rPr>
        <w:t>To:</w:t>
        <w:tab/>
        <w:tab/>
        <w:t>Merchant Energy Group of the Americas, Inc. ("Party B")</w:t>
      </w:r>
    </w:p>
    <w:p>
      <w:pPr>
        <w:pStyle w:val="Normal"/>
        <w:rPr>
          <w:sz w:val="22"/>
        </w:rPr>
      </w:pPr>
      <w:r>
        <w:rPr>
          <w:sz w:val="22"/>
        </w:rPr>
        <w:t>Attention:</w:t>
        <w:tab/>
      </w:r>
    </w:p>
    <w:p>
      <w:pPr>
        <w:pStyle w:val="Normal"/>
        <w:rPr>
          <w:sz w:val="22"/>
        </w:rPr>
      </w:pPr>
      <w:r>
        <w:rPr>
          <w:sz w:val="22"/>
        </w:rPr>
        <w:t>Fax No.:</w:t>
        <w:tab/>
      </w:r>
    </w:p>
    <w:p>
      <w:pPr>
        <w:pStyle w:val="Normal"/>
        <w:rPr>
          <w:sz w:val="22"/>
        </w:rPr>
      </w:pPr>
      <w:r>
        <w:rPr>
          <w:sz w:val="22"/>
        </w:rPr>
        <w:t>From:</w:t>
        <w:tab/>
        <w:tab/>
        <w:t>Enron North America Corp. ("Party A")</w:t>
      </w:r>
    </w:p>
    <w:p>
      <w:pPr>
        <w:pStyle w:val="Normal"/>
        <w:rPr>
          <w:sz w:val="22"/>
        </w:rPr>
      </w:pPr>
      <w:r>
        <w:rPr>
          <w:sz w:val="22"/>
        </w:rPr>
        <w:t>Re:</w:t>
        <w:tab/>
        <w:tab/>
        <w:t xml:space="preserve">Commodity Swap </w:t>
      </w:r>
    </w:p>
    <w:p>
      <w:pPr>
        <w:pStyle w:val="Normal"/>
        <w:rPr>
          <w:sz w:val="22"/>
        </w:rPr>
      </w:pPr>
      <w:r>
        <w:rPr>
          <w:sz w:val="22"/>
        </w:rPr>
      </w:r>
    </w:p>
    <w:p>
      <w:pPr>
        <w:pStyle w:val="Normal"/>
        <w:jc w:val="both"/>
        <w:rPr>
          <w:sz w:val="22"/>
        </w:rPr>
      </w:pPr>
      <w:r>
        <w:rPr>
          <w:sz w:val="22"/>
        </w:rPr>
        <w:tab/>
        <w:t>The purpose of this letter is to confirm the terms and conditions of the Transaction entered into between us on the Trade Date specified below (the "Transaction").  This letter constitutes a "Confirmation" as referred to in the ISDA Master Agreement specified below.</w:t>
      </w:r>
    </w:p>
    <w:p>
      <w:pPr>
        <w:pStyle w:val="Normal"/>
        <w:jc w:val="both"/>
        <w:rPr>
          <w:sz w:val="22"/>
        </w:rPr>
      </w:pPr>
      <w:r>
        <w:rPr>
          <w:sz w:val="22"/>
        </w:rPr>
      </w:r>
    </w:p>
    <w:p>
      <w:pPr>
        <w:pStyle w:val="Normal"/>
        <w:jc w:val="both"/>
        <w:rPr>
          <w:sz w:val="22"/>
        </w:rPr>
      </w:pPr>
      <w:r>
        <w:rPr>
          <w:sz w:val="22"/>
        </w:rPr>
        <w:tab/>
        <w:t>1.  This Confirmation supplements, forms part of, and is subject to, the ISDA Master Agreement dated as of May 14, 1998 as amended and supplemented from time to time (the "Agreement"), between you and us.  All provisions contained in the Agreement govern this Confirmation except as expressly modified below.  For purposes of this Transaction, the 2000 ISDA Commodity Derivatives Definitions are amended to replace the word “Fixed” with the words “First Floating” and to replace the word “Floating” with the words “Second Floating”.</w:t>
      </w:r>
    </w:p>
    <w:p>
      <w:pPr>
        <w:pStyle w:val="Normal"/>
        <w:jc w:val="both"/>
        <w:rPr>
          <w:sz w:val="22"/>
        </w:rPr>
      </w:pPr>
      <w:r>
        <w:rPr>
          <w:sz w:val="22"/>
        </w:rPr>
      </w:r>
    </w:p>
    <w:p>
      <w:pPr>
        <w:pStyle w:val="Normal"/>
        <w:rPr>
          <w:sz w:val="22"/>
        </w:rPr>
      </w:pPr>
      <w:r>
        <w:rPr>
          <w:sz w:val="22"/>
        </w:rPr>
        <w:tab/>
        <w:t>2.  The terms of the particular Transaction to which this Confirmation relates are as follows:</w:t>
      </w:r>
    </w:p>
    <w:p>
      <w:pPr>
        <w:pStyle w:val="Normal"/>
        <w:rPr>
          <w:b/>
          <w:sz w:val="22"/>
        </w:rPr>
      </w:pPr>
      <w:r>
        <w:rPr>
          <w:b/>
          <w:sz w:val="22"/>
        </w:rPr>
        <w:t>General Terms:</w:t>
      </w:r>
    </w:p>
    <w:p>
      <w:pPr>
        <w:pStyle w:val="Normal"/>
        <w:rPr>
          <w:b/>
          <w:sz w:val="22"/>
        </w:rPr>
      </w:pPr>
      <w:r>
        <w:rPr>
          <w:b/>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rPr>
                <w:sz w:val="22"/>
              </w:rPr>
            </w:pPr>
            <w:r>
              <w:rPr>
                <w:sz w:val="22"/>
              </w:rPr>
              <w:t>Trade Date:</w:t>
            </w:r>
          </w:p>
        </w:tc>
        <w:tc>
          <w:tcPr>
            <w:tcW w:w="6102" w:type="dxa"/>
            <w:tcBorders/>
          </w:tcPr>
          <w:p>
            <w:pPr>
              <w:pStyle w:val="Normal"/>
              <w:snapToGrid w:val="false"/>
              <w:ind w:hanging="18" w:end="0"/>
              <w:rPr>
                <w:sz w:val="22"/>
              </w:rPr>
            </w:pPr>
            <w:r>
              <w:rPr>
                <w:sz w:val="22"/>
              </w:rPr>
            </w:r>
          </w:p>
        </w:tc>
      </w:tr>
      <w:tr>
        <w:trPr/>
        <w:tc>
          <w:tcPr>
            <w:tcW w:w="4338" w:type="dxa"/>
            <w:tcBorders/>
          </w:tcPr>
          <w:p>
            <w:pPr>
              <w:pStyle w:val="Normal"/>
              <w:snapToGrid w:val="false"/>
              <w:ind w:firstLine="720" w:end="0"/>
              <w:jc w:val="both"/>
              <w:rPr>
                <w:sz w:val="22"/>
              </w:rPr>
            </w:pPr>
            <w:r>
              <w:rPr>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jc w:val="both"/>
              <w:rPr>
                <w:sz w:val="22"/>
              </w:rPr>
            </w:pPr>
            <w:r>
              <w:rPr>
                <w:sz w:val="22"/>
              </w:rPr>
              <w:t>Effective Date:</w:t>
            </w:r>
          </w:p>
        </w:tc>
        <w:tc>
          <w:tcPr>
            <w:tcW w:w="6102" w:type="dxa"/>
            <w:tcBorders/>
          </w:tcPr>
          <w:p>
            <w:pPr>
              <w:pStyle w:val="Normal"/>
              <w:ind w:start="-18" w:end="0"/>
              <w:jc w:val="both"/>
              <w:rPr>
                <w:sz w:val="22"/>
              </w:rPr>
            </w:pPr>
            <w:r>
              <w:rPr>
                <w:sz w:val="22"/>
              </w:rPr>
              <w:t>September 1, 2001</w:t>
            </w:r>
          </w:p>
        </w:tc>
      </w:tr>
      <w:tr>
        <w:trPr/>
        <w:tc>
          <w:tcPr>
            <w:tcW w:w="4338" w:type="dxa"/>
            <w:tcBorders/>
          </w:tcPr>
          <w:p>
            <w:pPr>
              <w:pStyle w:val="Normal"/>
              <w:snapToGrid w:val="false"/>
              <w:ind w:firstLine="720" w:end="0"/>
              <w:jc w:val="both"/>
              <w:rPr>
                <w:sz w:val="22"/>
              </w:rPr>
            </w:pPr>
            <w:r>
              <w:rPr>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jc w:val="both"/>
              <w:rPr>
                <w:sz w:val="22"/>
              </w:rPr>
            </w:pPr>
            <w:r>
              <w:rPr>
                <w:sz w:val="22"/>
              </w:rPr>
              <w:t>Termination Date:</w:t>
            </w:r>
          </w:p>
        </w:tc>
        <w:tc>
          <w:tcPr>
            <w:tcW w:w="6102" w:type="dxa"/>
            <w:tcBorders/>
          </w:tcPr>
          <w:p>
            <w:pPr>
              <w:pStyle w:val="Normal"/>
              <w:ind w:start="-18" w:end="0"/>
              <w:jc w:val="both"/>
              <w:rPr>
                <w:sz w:val="22"/>
              </w:rPr>
            </w:pPr>
            <w:r>
              <w:rPr>
                <w:sz w:val="22"/>
              </w:rPr>
              <w:t>November 30, 2001</w:t>
            </w:r>
          </w:p>
        </w:tc>
      </w:tr>
      <w:tr>
        <w:trPr/>
        <w:tc>
          <w:tcPr>
            <w:tcW w:w="4338" w:type="dxa"/>
            <w:tcBorders/>
          </w:tcPr>
          <w:p>
            <w:pPr>
              <w:pStyle w:val="Normal"/>
              <w:snapToGrid w:val="false"/>
              <w:ind w:firstLine="720" w:end="0"/>
              <w:jc w:val="both"/>
              <w:rPr>
                <w:sz w:val="22"/>
              </w:rPr>
            </w:pPr>
            <w:r>
              <w:rPr>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jc w:val="both"/>
              <w:rPr>
                <w:sz w:val="22"/>
              </w:rPr>
            </w:pPr>
            <w:r>
              <w:rPr>
                <w:sz w:val="22"/>
              </w:rPr>
              <w:t>Calculation Period(s):</w:t>
            </w:r>
          </w:p>
        </w:tc>
        <w:tc>
          <w:tcPr>
            <w:tcW w:w="6102" w:type="dxa"/>
            <w:tcBorders/>
          </w:tcPr>
          <w:p>
            <w:pPr>
              <w:pStyle w:val="Normal"/>
              <w:ind w:start="-18" w:end="0"/>
              <w:jc w:val="both"/>
              <w:rPr>
                <w:sz w:val="22"/>
              </w:rPr>
            </w:pPr>
            <w:r>
              <w:rPr>
                <w:sz w:val="22"/>
              </w:rPr>
              <w:t>Each calendar month beginning with September 1, 2001 and ending on November 30, 2001.</w:t>
            </w:r>
          </w:p>
        </w:tc>
      </w:tr>
    </w:tbl>
    <w:p>
      <w:pPr>
        <w:pStyle w:val="Normal"/>
        <w:ind w:firstLine="720" w:end="-270"/>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rPr>
                <w:sz w:val="22"/>
              </w:rPr>
            </w:pPr>
            <w:r>
              <w:rPr>
                <w:sz w:val="22"/>
              </w:rPr>
              <w:t>Payment Date(s):</w:t>
            </w:r>
          </w:p>
        </w:tc>
        <w:tc>
          <w:tcPr>
            <w:tcW w:w="6102" w:type="dxa"/>
            <w:tcBorders/>
          </w:tcPr>
          <w:p>
            <w:pPr>
              <w:pStyle w:val="Normal"/>
              <w:ind w:start="-18" w:end="0"/>
              <w:jc w:val="both"/>
              <w:rPr>
                <w:sz w:val="22"/>
              </w:rPr>
            </w:pPr>
            <w:r>
              <w:rPr>
                <w:sz w:val="22"/>
              </w:rPr>
              <w:fldChar w:fldCharType="begin"/>
            </w:r>
            <w:r>
              <w:rPr>
                <w:sz w:val="22"/>
              </w:rPr>
              <w:instrText xml:space="preserve"> MERGEFIELD PaymentDates </w:instrText>
            </w:r>
            <w:r>
              <w:rPr>
                <w:sz w:val="22"/>
              </w:rPr>
              <w:fldChar w:fldCharType="separate"/>
            </w:r>
            <w:r>
              <w:rPr>
                <w:sz w:val="22"/>
              </w:rPr>
              <w:t>The fifth (5th) Business Day following the date on which the Floating Price is determinable</w:t>
            </w:r>
            <w:r>
              <w:rPr>
                <w:sz w:val="22"/>
              </w:rPr>
              <w:fldChar w:fldCharType="end"/>
            </w:r>
          </w:p>
        </w:tc>
      </w:tr>
    </w:tbl>
    <w:p>
      <w:pPr>
        <w:pStyle w:val="Normal"/>
        <w:rPr>
          <w:b/>
          <w:sz w:val="22"/>
        </w:rPr>
      </w:pPr>
      <w:r>
        <w:rPr>
          <w:b/>
          <w:sz w:val="22"/>
        </w:rPr>
        <w:t>First Floating Amount Details:</w:t>
      </w:r>
    </w:p>
    <w:p>
      <w:pPr>
        <w:pStyle w:val="Normal"/>
        <w:rPr>
          <w:b/>
          <w:sz w:val="22"/>
        </w:rPr>
      </w:pPr>
      <w:r>
        <w:rPr>
          <w:b/>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rPr>
                <w:sz w:val="22"/>
              </w:rPr>
            </w:pPr>
            <w:r>
              <w:rPr>
                <w:sz w:val="22"/>
              </w:rPr>
              <w:t>Notional Quantity per</w:t>
            </w:r>
          </w:p>
          <w:p>
            <w:pPr>
              <w:pStyle w:val="Normal"/>
              <w:ind w:firstLine="720" w:end="0"/>
              <w:rPr>
                <w:sz w:val="22"/>
              </w:rPr>
            </w:pPr>
            <w:r>
              <w:rPr>
                <w:sz w:val="22"/>
              </w:rPr>
              <w:t>Calculation Period:</w:t>
            </w:r>
          </w:p>
        </w:tc>
        <w:tc>
          <w:tcPr>
            <w:tcW w:w="6102" w:type="dxa"/>
            <w:tcBorders/>
          </w:tcPr>
          <w:p>
            <w:pPr>
              <w:pStyle w:val="Normal"/>
              <w:snapToGrid w:val="false"/>
              <w:rPr>
                <w:sz w:val="22"/>
              </w:rPr>
            </w:pPr>
            <w:r>
              <w:rPr>
                <w:sz w:val="22"/>
              </w:rPr>
            </w:r>
          </w:p>
          <w:p>
            <w:pPr>
              <w:pStyle w:val="Normal"/>
              <w:ind w:start="-18" w:end="0"/>
              <w:rPr>
                <w:sz w:val="22"/>
              </w:rPr>
            </w:pPr>
            <w:r>
              <w:rPr>
                <w:sz w:val="22"/>
              </w:rPr>
              <w:t>26,760 MMBtu per day</w:t>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firstLine="720" w:end="0"/>
              <w:rPr>
                <w:sz w:val="22"/>
              </w:rPr>
            </w:pPr>
            <w:r>
              <w:rPr>
                <w:sz w:val="22"/>
              </w:rPr>
            </w:r>
          </w:p>
        </w:tc>
      </w:tr>
      <w:tr>
        <w:trPr/>
        <w:tc>
          <w:tcPr>
            <w:tcW w:w="4338" w:type="dxa"/>
            <w:tcBorders/>
          </w:tcPr>
          <w:p>
            <w:pPr>
              <w:pStyle w:val="Normal"/>
              <w:ind w:firstLine="720" w:end="0"/>
              <w:rPr>
                <w:sz w:val="22"/>
              </w:rPr>
            </w:pPr>
            <w:r>
              <w:rPr>
                <w:sz w:val="22"/>
              </w:rPr>
              <w:t>Total Notional Quantity:</w:t>
            </w:r>
          </w:p>
        </w:tc>
        <w:tc>
          <w:tcPr>
            <w:tcW w:w="6102" w:type="dxa"/>
            <w:tcBorders/>
          </w:tcPr>
          <w:p>
            <w:pPr>
              <w:pStyle w:val="Normal"/>
              <w:rPr>
                <w:sz w:val="22"/>
              </w:rPr>
            </w:pPr>
            <w:r>
              <w:rPr>
                <w:sz w:val="22"/>
              </w:rPr>
              <w:t>2,435,160 MMBtu</w:t>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firstLine="720" w:end="0"/>
              <w:rPr>
                <w:sz w:val="22"/>
              </w:rPr>
            </w:pPr>
            <w:r>
              <w:rPr>
                <w:sz w:val="22"/>
              </w:rPr>
            </w:r>
          </w:p>
        </w:tc>
      </w:tr>
      <w:tr>
        <w:trPr/>
        <w:tc>
          <w:tcPr>
            <w:tcW w:w="4338" w:type="dxa"/>
            <w:tcBorders/>
          </w:tcPr>
          <w:p>
            <w:pPr>
              <w:pStyle w:val="Normal"/>
              <w:ind w:firstLine="720" w:end="0"/>
              <w:rPr>
                <w:sz w:val="22"/>
              </w:rPr>
            </w:pPr>
            <w:r>
              <w:rPr>
                <w:sz w:val="22"/>
              </w:rPr>
              <w:t>Commodity:</w:t>
            </w:r>
          </w:p>
        </w:tc>
        <w:tc>
          <w:tcPr>
            <w:tcW w:w="6102" w:type="dxa"/>
            <w:tcBorders/>
          </w:tcPr>
          <w:p>
            <w:pPr>
              <w:pStyle w:val="Normal"/>
              <w:rPr>
                <w:sz w:val="22"/>
              </w:rPr>
            </w:pPr>
            <w:r>
              <w:rPr>
                <w:sz w:val="22"/>
              </w:rPr>
              <w:t>Natural Gas</w:t>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firstLine="720" w:end="0"/>
              <w:rPr>
                <w:sz w:val="22"/>
              </w:rPr>
            </w:pPr>
            <w:r>
              <w:rPr>
                <w:sz w:val="22"/>
              </w:rPr>
            </w:r>
          </w:p>
        </w:tc>
      </w:tr>
      <w:tr>
        <w:trPr/>
        <w:tc>
          <w:tcPr>
            <w:tcW w:w="4338" w:type="dxa"/>
            <w:tcBorders/>
          </w:tcPr>
          <w:p>
            <w:pPr>
              <w:pStyle w:val="Normal"/>
              <w:ind w:firstLine="720" w:end="0"/>
              <w:rPr>
                <w:sz w:val="22"/>
              </w:rPr>
            </w:pPr>
            <w:r>
              <w:rPr>
                <w:sz w:val="22"/>
              </w:rPr>
              <w:t>Commodity Unit:</w:t>
            </w:r>
          </w:p>
        </w:tc>
        <w:tc>
          <w:tcPr>
            <w:tcW w:w="6102" w:type="dxa"/>
            <w:tcBorders/>
          </w:tcPr>
          <w:p>
            <w:pPr>
              <w:pStyle w:val="Normal"/>
              <w:rPr>
                <w:sz w:val="22"/>
              </w:rPr>
            </w:pPr>
            <w:r>
              <w:rPr>
                <w:sz w:val="22"/>
              </w:rPr>
              <w:t>MMBtu (One Million British Thermal Units)</w:t>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firstLine="720" w:end="0"/>
              <w:rPr>
                <w:sz w:val="22"/>
              </w:rPr>
            </w:pPr>
            <w:r>
              <w:rPr>
                <w:sz w:val="22"/>
              </w:rPr>
            </w:r>
          </w:p>
        </w:tc>
      </w:tr>
    </w:tbl>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rHeight w:val="324" w:hRule="atLeast"/>
        </w:trPr>
        <w:tc>
          <w:tcPr>
            <w:tcW w:w="4338" w:type="dxa"/>
            <w:tcBorders/>
          </w:tcPr>
          <w:p>
            <w:pPr>
              <w:pStyle w:val="Normal"/>
              <w:ind w:firstLine="720" w:end="0"/>
              <w:rPr>
                <w:sz w:val="22"/>
              </w:rPr>
            </w:pPr>
            <w:r>
              <w:rPr>
                <w:sz w:val="22"/>
              </w:rPr>
              <w:t>First Floating Price Payer:</w:t>
            </w:r>
          </w:p>
        </w:tc>
        <w:tc>
          <w:tcPr>
            <w:tcW w:w="6102" w:type="dxa"/>
            <w:tcBorders/>
          </w:tcPr>
          <w:p>
            <w:pPr>
              <w:pStyle w:val="Normal"/>
              <w:rPr>
                <w:sz w:val="22"/>
              </w:rPr>
            </w:pPr>
            <w:r>
              <w:rPr>
                <w:sz w:val="22"/>
              </w:rPr>
              <w:t>Party A</w:t>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snapToGrid w:val="false"/>
              <w:ind w:firstLine="720" w:end="0"/>
              <w:rPr>
                <w:sz w:val="22"/>
              </w:rPr>
            </w:pPr>
            <w:r>
              <w:rPr>
                <w:sz w:val="22"/>
              </w:rPr>
            </w:r>
          </w:p>
          <w:p>
            <w:pPr>
              <w:pStyle w:val="Normal"/>
              <w:ind w:firstLine="720" w:end="0"/>
              <w:rPr>
                <w:sz w:val="22"/>
              </w:rPr>
            </w:pPr>
            <w:r>
              <w:rPr>
                <w:sz w:val="22"/>
              </w:rPr>
              <w:t>First Floating Price:</w:t>
            </w:r>
          </w:p>
        </w:tc>
        <w:tc>
          <w:tcPr>
            <w:tcW w:w="6102" w:type="dxa"/>
            <w:tcBorders/>
          </w:tcPr>
          <w:p>
            <w:pPr>
              <w:pStyle w:val="Normal"/>
              <w:snapToGrid w:val="false"/>
              <w:jc w:val="both"/>
              <w:rPr>
                <w:sz w:val="22"/>
              </w:rPr>
            </w:pPr>
            <w:r>
              <w:rPr>
                <w:sz w:val="22"/>
              </w:rPr>
            </w:r>
          </w:p>
          <w:p>
            <w:pPr>
              <w:pStyle w:val="BodyText"/>
              <w:rPr/>
            </w:pPr>
            <w:r>
              <w:rPr/>
              <w:t xml:space="preserve">The Midpoint price published on each calendar day during the Calculation Period under the heading "Daily Price Survey" in the Canadian Gas: NW Sumas section of Gas Daily, or if </w:t>
            </w:r>
          </w:p>
          <w:p>
            <w:pPr>
              <w:pStyle w:val="Normal"/>
              <w:jc w:val="both"/>
              <w:rPr>
                <w:sz w:val="22"/>
              </w:rPr>
            </w:pPr>
            <w:r>
              <w:rPr>
                <w:color w:val="000000"/>
                <w:sz w:val="22"/>
              </w:rPr>
              <w:t>a calendar day is not a Business Day then the price for such calendar day will be the Midpoint price published on the next Business Day.</w:t>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firstLine="720" w:end="0"/>
              <w:rPr>
                <w:sz w:val="22"/>
              </w:rPr>
            </w:pPr>
            <w:r>
              <w:rPr>
                <w:sz w:val="22"/>
              </w:rPr>
              <w:t>First Floating Amount :</w:t>
            </w:r>
          </w:p>
        </w:tc>
        <w:tc>
          <w:tcPr>
            <w:tcW w:w="6102" w:type="dxa"/>
            <w:tcBorders/>
          </w:tcPr>
          <w:p>
            <w:pPr>
              <w:pStyle w:val="Normal"/>
              <w:jc w:val="both"/>
              <w:rPr>
                <w:sz w:val="22"/>
              </w:rPr>
            </w:pPr>
            <w:r>
              <w:rPr>
                <w:sz w:val="22"/>
              </w:rPr>
              <w:t>For each Calculation Period $___ plus the product of the First Floating Price multiplied by the Notional Quantity per Calculation Period.</w:t>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jc w:val="both"/>
              <w:rPr>
                <w:sz w:val="22"/>
              </w:rPr>
            </w:pPr>
            <w:r>
              <w:rPr>
                <w:sz w:val="22"/>
              </w:rPr>
            </w:r>
          </w:p>
        </w:tc>
      </w:tr>
    </w:tbl>
    <w:p>
      <w:pPr>
        <w:pStyle w:val="Normal"/>
        <w:rPr>
          <w:b/>
          <w:sz w:val="22"/>
        </w:rPr>
      </w:pPr>
      <w:r>
        <w:rPr>
          <w:b/>
          <w:sz w:val="22"/>
        </w:rPr>
        <w:t>Second Floating Amount Details:</w:t>
      </w:r>
    </w:p>
    <w:p>
      <w:pPr>
        <w:pStyle w:val="Normal"/>
        <w:rPr>
          <w:b/>
          <w:sz w:val="22"/>
        </w:rPr>
      </w:pPr>
      <w:r>
        <w:rPr>
          <w:b/>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rPr>
                <w:sz w:val="22"/>
              </w:rPr>
            </w:pPr>
            <w:r>
              <w:rPr>
                <w:sz w:val="22"/>
              </w:rPr>
              <w:t>Notional Quantity per</w:t>
            </w:r>
          </w:p>
          <w:p>
            <w:pPr>
              <w:pStyle w:val="Normal"/>
              <w:ind w:firstLine="720" w:end="0"/>
              <w:rPr>
                <w:sz w:val="22"/>
              </w:rPr>
            </w:pPr>
            <w:r>
              <w:rPr>
                <w:sz w:val="22"/>
              </w:rPr>
              <w:t>Calculation Period:</w:t>
            </w:r>
          </w:p>
        </w:tc>
        <w:tc>
          <w:tcPr>
            <w:tcW w:w="6102" w:type="dxa"/>
            <w:tcBorders/>
          </w:tcPr>
          <w:p>
            <w:pPr>
              <w:pStyle w:val="Normal"/>
              <w:snapToGrid w:val="false"/>
              <w:rPr>
                <w:sz w:val="22"/>
              </w:rPr>
            </w:pPr>
            <w:r>
              <w:rPr>
                <w:sz w:val="22"/>
              </w:rPr>
            </w:r>
          </w:p>
          <w:p>
            <w:pPr>
              <w:pStyle w:val="Normal"/>
              <w:ind w:start="-18" w:end="0"/>
              <w:rPr>
                <w:sz w:val="22"/>
              </w:rPr>
            </w:pPr>
            <w:r>
              <w:rPr>
                <w:sz w:val="22"/>
              </w:rPr>
              <w:t>100 MWs per hour for each hour during the Calculation Period.</w:t>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firstLine="720" w:end="0"/>
              <w:rPr>
                <w:sz w:val="22"/>
              </w:rPr>
            </w:pPr>
            <w:r>
              <w:rPr>
                <w:sz w:val="22"/>
              </w:rPr>
            </w:r>
          </w:p>
        </w:tc>
      </w:tr>
      <w:tr>
        <w:trPr/>
        <w:tc>
          <w:tcPr>
            <w:tcW w:w="4338" w:type="dxa"/>
            <w:tcBorders/>
          </w:tcPr>
          <w:p>
            <w:pPr>
              <w:pStyle w:val="Normal"/>
              <w:ind w:firstLine="720" w:end="0"/>
              <w:rPr>
                <w:sz w:val="22"/>
              </w:rPr>
            </w:pPr>
            <w:r>
              <w:rPr>
                <w:sz w:val="22"/>
              </w:rPr>
              <w:t>Total Notional Quantity:</w:t>
            </w:r>
          </w:p>
        </w:tc>
        <w:tc>
          <w:tcPr>
            <w:tcW w:w="6102" w:type="dxa"/>
            <w:tcBorders/>
          </w:tcPr>
          <w:p>
            <w:pPr>
              <w:pStyle w:val="Normal"/>
              <w:rPr>
                <w:sz w:val="22"/>
              </w:rPr>
            </w:pPr>
            <w:r>
              <w:rPr>
                <w:sz w:val="22"/>
              </w:rPr>
              <w:t>218,400 MWh</w:t>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firstLine="720" w:end="0"/>
              <w:rPr>
                <w:sz w:val="22"/>
              </w:rPr>
            </w:pPr>
            <w:r>
              <w:rPr>
                <w:sz w:val="22"/>
              </w:rPr>
            </w:r>
          </w:p>
        </w:tc>
      </w:tr>
      <w:tr>
        <w:trPr/>
        <w:tc>
          <w:tcPr>
            <w:tcW w:w="4338" w:type="dxa"/>
            <w:tcBorders/>
          </w:tcPr>
          <w:p>
            <w:pPr>
              <w:pStyle w:val="Normal"/>
              <w:ind w:firstLine="720" w:end="0"/>
              <w:rPr>
                <w:sz w:val="22"/>
              </w:rPr>
            </w:pPr>
            <w:r>
              <w:rPr>
                <w:sz w:val="22"/>
              </w:rPr>
              <w:t>Commodity:</w:t>
            </w:r>
          </w:p>
        </w:tc>
        <w:tc>
          <w:tcPr>
            <w:tcW w:w="6102" w:type="dxa"/>
            <w:tcBorders/>
          </w:tcPr>
          <w:p>
            <w:pPr>
              <w:pStyle w:val="Normal"/>
              <w:rPr>
                <w:sz w:val="22"/>
              </w:rPr>
            </w:pPr>
            <w:r>
              <w:rPr>
                <w:sz w:val="22"/>
              </w:rPr>
              <w:t>Electricity/MWh</w:t>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firstLine="720" w:end="0"/>
              <w:rPr>
                <w:sz w:val="22"/>
              </w:rPr>
            </w:pPr>
            <w:r>
              <w:rPr>
                <w:sz w:val="22"/>
              </w:rPr>
            </w:r>
          </w:p>
        </w:tc>
      </w:tr>
      <w:tr>
        <w:trPr/>
        <w:tc>
          <w:tcPr>
            <w:tcW w:w="4338" w:type="dxa"/>
            <w:tcBorders/>
          </w:tcPr>
          <w:p>
            <w:pPr>
              <w:pStyle w:val="Normal"/>
              <w:ind w:firstLine="720" w:end="0"/>
              <w:rPr>
                <w:sz w:val="22"/>
              </w:rPr>
            </w:pPr>
            <w:r>
              <w:rPr>
                <w:sz w:val="22"/>
              </w:rPr>
              <w:t>Commodity Unit:</w:t>
            </w:r>
          </w:p>
        </w:tc>
        <w:tc>
          <w:tcPr>
            <w:tcW w:w="6102" w:type="dxa"/>
            <w:tcBorders/>
          </w:tcPr>
          <w:p>
            <w:pPr>
              <w:pStyle w:val="Normal"/>
              <w:rPr>
                <w:sz w:val="22"/>
              </w:rPr>
            </w:pPr>
            <w:r>
              <w:rPr>
                <w:sz w:val="22"/>
              </w:rPr>
              <w:t>MWh (Megawatt hours)</w:t>
            </w:r>
          </w:p>
        </w:tc>
      </w:tr>
    </w:tbl>
    <w:p>
      <w:pPr>
        <w:pStyle w:val="Normal"/>
        <w:ind w:end="-270"/>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ind w:firstLine="720" w:end="0"/>
              <w:rPr>
                <w:sz w:val="22"/>
              </w:rPr>
            </w:pPr>
            <w:r>
              <w:rPr>
                <w:sz w:val="22"/>
              </w:rPr>
              <w:t>Second Floating Price Payer:</w:t>
            </w:r>
          </w:p>
        </w:tc>
        <w:tc>
          <w:tcPr>
            <w:tcW w:w="6102" w:type="dxa"/>
            <w:tcBorders/>
          </w:tcPr>
          <w:p>
            <w:pPr>
              <w:pStyle w:val="Normal"/>
              <w:rPr>
                <w:sz w:val="22"/>
              </w:rPr>
            </w:pPr>
            <w:r>
              <w:rPr>
                <w:sz w:val="22"/>
              </w:rPr>
              <w:t>Party B</w:t>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ind w:firstLine="720" w:end="0"/>
              <w:rPr>
                <w:sz w:val="22"/>
              </w:rPr>
            </w:pPr>
            <w:r>
              <w:rPr>
                <w:sz w:val="22"/>
              </w:rPr>
              <w:t>Second Floating Price:</w:t>
            </w:r>
          </w:p>
        </w:tc>
        <w:tc>
          <w:tcPr>
            <w:tcW w:w="6102"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pPr>
            <w:r>
              <w:rPr>
                <w:sz w:val="22"/>
                <w:u w:val="single"/>
                <w:lang w:val="en-CA" w:eastAsia="en-CA"/>
              </w:rPr>
              <w:t>On-Peak hours</w:t>
            </w:r>
            <w:r>
              <w:rPr>
                <w:sz w:val="22"/>
                <w:lang w:val="en-CA" w:eastAsia="en-CA"/>
              </w:rPr>
              <w:t>:  HE 0700 through HE 2200 PPT, Monday through Saturday only, excluding NERC holidays.  The average of  the daily day-ahead prices listed in the Dow Jones Mid-Columbia Electricity Price Index entitled “</w:t>
            </w:r>
            <w:r>
              <w:rPr>
                <w:b/>
                <w:sz w:val="22"/>
                <w:lang w:val="en-CA" w:eastAsia="en-CA"/>
              </w:rPr>
              <w:t>DJ-Mid C Daily Index:  Firm On-Peak:  Index</w:t>
            </w:r>
            <w:r>
              <w:rPr>
                <w:sz w:val="22"/>
                <w:lang w:val="en-CA" w:eastAsia="en-CA"/>
              </w:rPr>
              <w:t>” as published by Dow Jones Telerate (Telerate page 38424) for power delivered during On-Peak Hours during the applicable Calculation Period.</w:t>
            </w:r>
          </w:p>
          <w:p>
            <w:pPr>
              <w:pStyle w:val="Normal"/>
              <w:rPr/>
            </w:pPr>
            <w:r>
              <w:rPr>
                <w:sz w:val="22"/>
                <w:u w:val="single"/>
                <w:lang w:val="en-CA" w:eastAsia="en-CA"/>
              </w:rPr>
              <w:t>Off-Peak hours</w:t>
            </w:r>
            <w:r>
              <w:rPr>
                <w:sz w:val="22"/>
                <w:lang w:val="en-CA" w:eastAsia="en-CA"/>
              </w:rPr>
              <w:t>: HE 0100 through HE 0600, HE 2300 through HE 2400 PPT, Monday through Saturday only, excluding NERC holidays, and HE 0100 through HE 2400 PPT, Sundays and NERC holidays.  The hourly-weighted average of ( i ) the average of the daily day-ahead prices listed in the Dow Jones Mid-Columbia Electricity Price Index entitled “</w:t>
            </w:r>
            <w:r>
              <w:rPr>
                <w:b/>
                <w:sz w:val="22"/>
                <w:lang w:val="en-CA" w:eastAsia="en-CA"/>
              </w:rPr>
              <w:t>DJ-Mid C Daily Index:  Firm Off-Peak:  Index</w:t>
            </w:r>
            <w:r>
              <w:rPr>
                <w:sz w:val="22"/>
                <w:lang w:val="en-CA" w:eastAsia="en-CA"/>
              </w:rPr>
              <w:t>” as published by Dow Jones Telerate (Telerate page 38424) for power delivered during Off-Peak Hours on a day that is a Monday through Saturday, excluding NERC holidays, during the applicable Calculation Period and (ii ) the average of the daily day-ahead prices listed in the Dow Jones Mid-Columbia Electricity Price Index entitled the “</w:t>
            </w:r>
            <w:r>
              <w:rPr>
                <w:b/>
                <w:sz w:val="22"/>
                <w:lang w:val="en-CA" w:eastAsia="en-CA"/>
              </w:rPr>
              <w:t>DJ Mid-C Sunday 24 Hour Firm Index</w:t>
            </w:r>
            <w:r>
              <w:rPr>
                <w:sz w:val="22"/>
                <w:lang w:val="en-CA" w:eastAsia="en-CA"/>
              </w:rPr>
              <w:t>” as published by the Dow Jones Telerate (Telerate page 38424) for power delivered during Off-Peak Hours on each day that is a Sunday or NERC holiday during the applicable Calculation Period.</w:t>
            </w:r>
          </w:p>
          <w:p>
            <w:pPr>
              <w:pStyle w:val="Normal"/>
              <w:rPr>
                <w:sz w:val="22"/>
              </w:rPr>
            </w:pPr>
            <w:r>
              <w:rPr>
                <w:sz w:val="22"/>
                <w:lang w:val="en-CA" w:eastAsia="en-CA"/>
              </w:rPr>
              <w:t>For purposes hereuder “NERC” means North American Electric Reliability Council.</w:t>
            </w:r>
          </w:p>
        </w:tc>
      </w:tr>
    </w:tbl>
    <w:p>
      <w:pPr>
        <w:pStyle w:val="Normal"/>
        <w:jc w:val="both"/>
        <w:rPr>
          <w:sz w:val="22"/>
        </w:rPr>
      </w:pPr>
      <w:r>
        <w:rPr>
          <w:sz w:val="22"/>
        </w:rPr>
      </w:r>
    </w:p>
    <w:p>
      <w:pPr>
        <w:pStyle w:val="Normal"/>
        <w:ind w:firstLine="720" w:end="0"/>
        <w:jc w:val="both"/>
        <w:rPr>
          <w:sz w:val="22"/>
        </w:rPr>
      </w:pPr>
      <w:r>
        <w:rPr>
          <w:sz w:val="22"/>
        </w:rPr>
        <w:t>In accordance with the procedures set forth in the Agreement, please confirm that the foregoing correctly sets forth the terms of our agreement by executing the copy of this Confirmation enclosed for that purpose and returning it to us or by sending to us a letter substantially similar to this letter, which letter sets forth the material terms of the Transaction to which this Confirmation relates and indicates agreement to those terms.</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5148"/>
        <w:gridCol w:w="5292"/>
      </w:tblGrid>
      <w:tr>
        <w:trPr/>
        <w:tc>
          <w:tcPr>
            <w:tcW w:w="5148" w:type="dxa"/>
            <w:tcBorders/>
          </w:tcPr>
          <w:p>
            <w:pPr>
              <w:pStyle w:val="Normal"/>
              <w:keepLines/>
              <w:rPr>
                <w:sz w:val="22"/>
              </w:rPr>
            </w:pPr>
            <w:r>
              <w:rPr>
                <w:sz w:val="22"/>
              </w:rPr>
              <w:t>Yours sincerely,</w:t>
            </w:r>
          </w:p>
          <w:p>
            <w:pPr>
              <w:pStyle w:val="Normal"/>
              <w:keepLines/>
              <w:rPr>
                <w:sz w:val="22"/>
              </w:rPr>
            </w:pPr>
            <w:r>
              <w:rPr>
                <w:sz w:val="22"/>
              </w:rPr>
            </w:r>
          </w:p>
          <w:p>
            <w:pPr>
              <w:pStyle w:val="Normal"/>
              <w:keepLines/>
              <w:rPr>
                <w:sz w:val="22"/>
              </w:rPr>
            </w:pPr>
            <w:r>
              <w:rPr>
                <w:sz w:val="22"/>
              </w:rPr>
            </w:r>
          </w:p>
          <w:p>
            <w:pPr>
              <w:pStyle w:val="Normal"/>
              <w:keepLines/>
              <w:rPr>
                <w:sz w:val="22"/>
              </w:rPr>
            </w:pPr>
            <w:r>
              <w:rPr>
                <w:sz w:val="22"/>
              </w:rPr>
              <w:t>Enron North America Corp.</w:t>
            </w:r>
          </w:p>
          <w:p>
            <w:pPr>
              <w:pStyle w:val="Normal"/>
              <w:keepLines/>
              <w:rPr>
                <w:sz w:val="22"/>
              </w:rPr>
            </w:pPr>
            <w:r>
              <w:rPr>
                <w:sz w:val="22"/>
              </w:rPr>
            </w:r>
          </w:p>
          <w:p>
            <w:pPr>
              <w:pStyle w:val="Normal"/>
              <w:keepLines/>
              <w:rPr>
                <w:sz w:val="22"/>
              </w:rPr>
            </w:pPr>
            <w:r>
              <w:rPr>
                <w:sz w:val="22"/>
              </w:rPr>
              <w:tab/>
              <w:tab/>
              <w:tab/>
              <w:tab/>
              <w:tab/>
            </w:r>
          </w:p>
          <w:p>
            <w:pPr>
              <w:pStyle w:val="Normal"/>
              <w:keepLines/>
              <w:rPr>
                <w:sz w:val="22"/>
              </w:rPr>
            </w:pPr>
            <w:r>
              <w:rPr>
                <w:sz w:val="22"/>
              </w:rPr>
              <w:t>By:  _________________________</w:t>
            </w:r>
          </w:p>
          <w:p>
            <w:pPr>
              <w:pStyle w:val="Normal"/>
              <w:keepLines/>
              <w:rPr>
                <w:sz w:val="22"/>
              </w:rPr>
            </w:pPr>
            <w:r>
              <w:rPr>
                <w:sz w:val="22"/>
              </w:rPr>
              <w:t>Name: _______________________</w:t>
            </w:r>
          </w:p>
          <w:p>
            <w:pPr>
              <w:pStyle w:val="Normal"/>
              <w:keepLines/>
              <w:rPr>
                <w:sz w:val="22"/>
              </w:rPr>
            </w:pPr>
            <w:r>
              <w:rPr>
                <w:sz w:val="22"/>
              </w:rPr>
              <w:t xml:space="preserve">Title:   _______________________ </w:t>
            </w:r>
          </w:p>
        </w:tc>
        <w:tc>
          <w:tcPr>
            <w:tcW w:w="5292" w:type="dxa"/>
            <w:tcBorders/>
          </w:tcPr>
          <w:p>
            <w:pPr>
              <w:pStyle w:val="Normal"/>
              <w:keepLines/>
              <w:rPr>
                <w:sz w:val="22"/>
              </w:rPr>
            </w:pPr>
            <w:r>
              <w:rPr>
                <w:sz w:val="22"/>
              </w:rPr>
              <w:t xml:space="preserve">Deal No. </w:t>
            </w:r>
          </w:p>
          <w:p>
            <w:pPr>
              <w:pStyle w:val="Normal"/>
              <w:keepLines/>
              <w:rPr>
                <w:sz w:val="22"/>
              </w:rPr>
            </w:pPr>
            <w:r>
              <w:rPr>
                <w:sz w:val="22"/>
              </w:rPr>
              <w:t>Confirmed as of the date first above written:</w:t>
            </w:r>
          </w:p>
          <w:p>
            <w:pPr>
              <w:pStyle w:val="Normal"/>
              <w:keepLines/>
              <w:rPr>
                <w:sz w:val="22"/>
              </w:rPr>
            </w:pPr>
            <w:r>
              <w:rPr>
                <w:sz w:val="22"/>
              </w:rPr>
            </w:r>
          </w:p>
          <w:p>
            <w:pPr>
              <w:pStyle w:val="Normal"/>
              <w:keepLines/>
              <w:rPr>
                <w:sz w:val="22"/>
              </w:rPr>
            </w:pPr>
            <w:r>
              <w:rPr>
                <w:sz w:val="22"/>
              </w:rPr>
              <w:t>Merchant Energy Group of the Americas, Inc.</w:t>
            </w:r>
          </w:p>
          <w:p>
            <w:pPr>
              <w:pStyle w:val="Normal"/>
              <w:keepLines/>
              <w:rPr>
                <w:sz w:val="22"/>
              </w:rPr>
            </w:pPr>
            <w:r>
              <w:rPr>
                <w:sz w:val="22"/>
              </w:rPr>
            </w:r>
          </w:p>
          <w:p>
            <w:pPr>
              <w:pStyle w:val="Normal"/>
              <w:keepLines/>
              <w:rPr>
                <w:sz w:val="22"/>
              </w:rPr>
            </w:pPr>
            <w:r>
              <w:rPr>
                <w:sz w:val="22"/>
              </w:rPr>
            </w:r>
          </w:p>
          <w:p>
            <w:pPr>
              <w:pStyle w:val="Normal"/>
              <w:keepLines/>
              <w:rPr>
                <w:sz w:val="22"/>
              </w:rPr>
            </w:pPr>
            <w:r>
              <w:rPr>
                <w:sz w:val="22"/>
              </w:rPr>
            </w:r>
          </w:p>
          <w:p>
            <w:pPr>
              <w:pStyle w:val="Normal"/>
              <w:keepLines/>
              <w:rPr/>
            </w:pPr>
            <w:r>
              <w:rPr>
                <w:sz w:val="22"/>
              </w:rPr>
              <w:t xml:space="preserve">By:  </w:t>
            </w:r>
            <w:r>
              <w:rPr>
                <w:sz w:val="22"/>
                <w:u w:val="single"/>
              </w:rPr>
              <w:tab/>
              <w:tab/>
              <w:tab/>
              <w:tab/>
              <w:tab/>
            </w:r>
            <w:r>
              <w:rPr>
                <w:sz w:val="22"/>
              </w:rPr>
              <w:tab/>
            </w:r>
          </w:p>
          <w:p>
            <w:pPr>
              <w:pStyle w:val="Normal"/>
              <w:keepLines/>
              <w:rPr/>
            </w:pPr>
            <w:r>
              <w:rPr>
                <w:sz w:val="22"/>
              </w:rPr>
              <w:t xml:space="preserve">Name:  </w:t>
            </w:r>
            <w:r>
              <w:rPr>
                <w:sz w:val="22"/>
                <w:u w:val="single"/>
              </w:rPr>
              <w:tab/>
              <w:tab/>
              <w:tab/>
              <w:tab/>
              <w:tab/>
            </w:r>
          </w:p>
          <w:p>
            <w:pPr>
              <w:pStyle w:val="Normal"/>
              <w:keepLines/>
              <w:rPr>
                <w:sz w:val="22"/>
              </w:rPr>
            </w:pPr>
            <w:r>
              <w:rPr>
                <w:sz w:val="22"/>
              </w:rPr>
              <w:t xml:space="preserve">Title:  </w:t>
            </w:r>
            <w:r>
              <w:rPr>
                <w:sz w:val="22"/>
                <w:u w:val="single"/>
              </w:rPr>
              <w:tab/>
              <w:tab/>
              <w:tab/>
              <w:tab/>
              <w:tab/>
            </w:r>
          </w:p>
        </w:tc>
      </w:tr>
    </w:tbl>
    <w:p>
      <w:pPr>
        <w:pStyle w:val="Normal"/>
        <w:rPr/>
      </w:pPr>
      <w:r>
        <w:rPr/>
      </w:r>
    </w:p>
    <w:sectPr>
      <w:headerReference w:type="default" r:id="rId3"/>
      <w:footerReference w:type="default" r:id="rId4"/>
      <w:type w:val="nextPage"/>
      <w:pgSz w:w="12240" w:h="15840"/>
      <w:pgMar w:left="1152" w:right="864" w:gutter="0" w:header="720" w:top="864" w:footer="72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b/>
      </w:rPr>
      <w:t>DRAFT</w:t>
    </w:r>
    <w:r>
      <w:rPr/>
      <w:tab/>
      <w:tab/>
    </w:r>
    <w:r>
      <w:rPr>
        <w:sz w:val="18"/>
      </w:rPr>
      <w:t>Deal No.</w:t>
    </w:r>
    <w:r>
      <w:rPr/>
      <w:t xml:space="preserve"> </w:t>
    </w:r>
    <w:r>
      <w:rPr/>
      <w:fldChar w:fldCharType="begin"/>
    </w:r>
    <w:r>
      <w:rPr/>
      <w:instrText xml:space="preserve"> TITLE </w:instrText>
    </w:r>
    <w:r>
      <w:rPr/>
      <w:fldChar w:fldCharType="separate"/>
    </w:r>
    <w:r>
      <w:rPr/>
      <w:t xml:space="preserve"> </w:t>
    </w:r>
    <w:r>
      <w:rPr/>
      <w:fldChar w:fldCharType="end"/>
    </w:r>
  </w:p>
  <w:p>
    <w:pPr>
      <w:pStyle w:val="Header"/>
      <w:rPr>
        <w:sz w:val="22"/>
      </w:rPr>
    </w:pPr>
    <w:r>
      <w:rPr>
        <w:sz w:val="22"/>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240"/>
    </w:pPr>
    <w:rPr>
      <w:color w:val="000000"/>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2001-04-26T11:19:00Z</dcterms:created>
  <dc:creator>EOL#</dc:creator>
  <dc:description/>
  <dc:language>en-CA</dc:language>
  <cp:lastModifiedBy>cfoster</cp:lastModifiedBy>
  <dcterms:modified xsi:type="dcterms:W3CDTF">2001-04-26T11:19:00Z</dcterms:modified>
  <cp:revision>2</cp:revision>
  <dc:subject/>
  <dc:title> </dc:title>
</cp:coreProperties>
</file>