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jc w:val="both"/>
        <w:rPr>
          <w:color w:val="FF0000"/>
          <w:sz w:val="22"/>
        </w:rPr>
      </w:pPr>
      <w:r>
        <w:rPr>
          <w:color w:val="FF0000"/>
          <w:sz w:val="22"/>
        </w:rPr>
        <w:t>[September 30, 1999]</w:t>
      </w:r>
    </w:p>
    <w:p>
      <w:pPr>
        <w:pStyle w:val="Normal"/>
        <w:jc w:val="both"/>
        <w:rPr>
          <w:color w:val="FF0000"/>
          <w:sz w:val="22"/>
        </w:rPr>
      </w:pPr>
      <w:r>
        <w:rPr>
          <w:color w:val="FF0000"/>
          <w:sz w:val="22"/>
        </w:rPr>
      </w:r>
    </w:p>
    <w:p>
      <w:pPr>
        <w:pStyle w:val="Normal"/>
        <w:jc w:val="both"/>
        <w:rPr>
          <w:sz w:val="22"/>
        </w:rPr>
      </w:pPr>
      <w:r>
        <w:rPr>
          <w:sz w:val="22"/>
        </w:rPr>
        <w:t>Deseret Generation  &amp; Transmission Cooperative</w:t>
      </w:r>
    </w:p>
    <w:p>
      <w:pPr>
        <w:pStyle w:val="Normal"/>
        <w:jc w:val="both"/>
        <w:rPr>
          <w:sz w:val="22"/>
        </w:rPr>
      </w:pPr>
      <w:r>
        <w:rPr>
          <w:sz w:val="22"/>
        </w:rPr>
      </w:r>
    </w:p>
    <w:p>
      <w:pPr>
        <w:pStyle w:val="Normal"/>
        <w:jc w:val="both"/>
        <w:rPr>
          <w:color w:val="FF0000"/>
          <w:sz w:val="22"/>
        </w:rPr>
      </w:pPr>
      <w:r>
        <w:rPr>
          <w:sz w:val="22"/>
        </w:rPr>
        <w:t xml:space="preserve">Attention:  </w:t>
      </w:r>
    </w:p>
    <w:p>
      <w:pPr>
        <w:pStyle w:val="Normal"/>
        <w:jc w:val="both"/>
        <w:rPr>
          <w:color w:val="FF0000"/>
          <w:sz w:val="22"/>
        </w:rPr>
      </w:pPr>
      <w:r>
        <w:rPr>
          <w:color w:val="FF0000"/>
          <w:sz w:val="22"/>
        </w:rPr>
      </w:r>
    </w:p>
    <w:p>
      <w:pPr>
        <w:pStyle w:val="Normal"/>
        <w:jc w:val="both"/>
        <w:rPr>
          <w:sz w:val="22"/>
        </w:rPr>
      </w:pPr>
      <w:r>
        <w:rPr>
          <w:sz w:val="22"/>
        </w:rPr>
        <w:t xml:space="preserve">Fax No.: </w:t>
      </w:r>
    </w:p>
    <w:p>
      <w:pPr>
        <w:pStyle w:val="Normal"/>
        <w:jc w:val="both"/>
        <w:rPr>
          <w:sz w:val="22"/>
        </w:rPr>
      </w:pPr>
      <w:r>
        <w:rPr>
          <w:sz w:val="22"/>
        </w:rPr>
        <w:t xml:space="preserve">Telephone No.: </w:t>
      </w:r>
    </w:p>
    <w:p>
      <w:pPr>
        <w:pStyle w:val="Normal"/>
        <w:jc w:val="both"/>
        <w:rPr>
          <w:sz w:val="22"/>
        </w:rPr>
      </w:pPr>
      <w:r>
        <w:rPr>
          <w:sz w:val="22"/>
        </w:rPr>
      </w:r>
    </w:p>
    <w:p>
      <w:pPr>
        <w:pStyle w:val="Normal"/>
        <w:jc w:val="both"/>
        <w:rPr/>
      </w:pPr>
      <w:r>
        <w:rPr>
          <w:sz w:val="22"/>
        </w:rPr>
        <w:t>Re:</w:t>
        <w:tab/>
        <w:t xml:space="preserve">SWAP TRANSACTION Contract No. </w:t>
      </w:r>
      <w:r>
        <w:rPr>
          <w:color w:val="FF0000"/>
          <w:sz w:val="22"/>
        </w:rPr>
        <w:t>XXXXXX</w:t>
      </w:r>
      <w:r>
        <w:rPr>
          <w:sz w:val="22"/>
        </w:rPr>
        <w:tab/>
      </w:r>
    </w:p>
    <w:p>
      <w:pPr>
        <w:pStyle w:val="Normal"/>
        <w:jc w:val="both"/>
        <w:rPr>
          <w:sz w:val="22"/>
        </w:rPr>
      </w:pPr>
      <w:r>
        <w:rPr>
          <w:sz w:val="22"/>
        </w:rPr>
      </w:r>
    </w:p>
    <w:p>
      <w:pPr>
        <w:pStyle w:val="Normal"/>
        <w:jc w:val="both"/>
        <w:rPr>
          <w:sz w:val="22"/>
        </w:rPr>
      </w:pPr>
      <w:r>
        <w:rPr>
          <w:sz w:val="22"/>
        </w:rPr>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Deseret Generation &amp; Transmission Cooperative (DG&amp;T) and Enron Capital &amp; Trade, Inc. (ECT) on the Trade Date specified below (the "Transaction") whereby the parties agreed to the following terms for the particular Transaction to which this Confirmation relates:  </w:t>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rPr>
                <w:sz w:val="22"/>
              </w:rPr>
            </w:pPr>
            <w:r>
              <w:rPr>
                <w:sz w:val="22"/>
              </w:rPr>
              <w:t>Notional Quantity per Determination Period:</w:t>
            </w:r>
          </w:p>
        </w:tc>
        <w:tc>
          <w:tcPr>
            <w:tcW w:w="6408" w:type="dxa"/>
            <w:tcBorders/>
          </w:tcPr>
          <w:p>
            <w:pPr>
              <w:pStyle w:val="Normal"/>
              <w:snapToGrid w:val="false"/>
              <w:jc w:val="both"/>
              <w:rPr>
                <w:sz w:val="22"/>
              </w:rPr>
            </w:pPr>
            <w:r>
              <w:rPr>
                <w:sz w:val="22"/>
              </w:rPr>
            </w:r>
          </w:p>
          <w:p>
            <w:pPr>
              <w:pStyle w:val="Normal"/>
              <w:jc w:val="both"/>
              <w:rPr>
                <w:color w:val="FF0000"/>
                <w:sz w:val="22"/>
              </w:rPr>
            </w:pPr>
            <w:r>
              <w:rPr>
                <w:color w:val="000000"/>
                <w:sz w:val="22"/>
              </w:rPr>
              <w:t xml:space="preserve">20 MW continuosly for each Determination Period during the term of the Transaction.  </w:t>
            </w:r>
          </w:p>
        </w:tc>
      </w:tr>
      <w:tr>
        <w:trPr/>
        <w:tc>
          <w:tcPr>
            <w:tcW w:w="3168" w:type="dxa"/>
            <w:tcBorders/>
          </w:tcPr>
          <w:p>
            <w:pPr>
              <w:pStyle w:val="Normal"/>
              <w:snapToGrid w:val="false"/>
              <w:jc w:val="both"/>
              <w:rPr>
                <w:color w:val="FF0000"/>
                <w:sz w:val="22"/>
              </w:rPr>
            </w:pPr>
            <w:r>
              <w:rPr>
                <w:color w:val="FF0000"/>
                <w:sz w:val="22"/>
              </w:rPr>
            </w:r>
          </w:p>
          <w:p>
            <w:pPr>
              <w:pStyle w:val="Normal"/>
              <w:jc w:val="both"/>
              <w:rPr>
                <w:sz w:val="22"/>
              </w:rPr>
            </w:pPr>
            <w:r>
              <w:rPr>
                <w:sz w:val="22"/>
              </w:rPr>
              <w:t>Commodity:</w:t>
            </w:r>
          </w:p>
          <w:p>
            <w:pPr>
              <w:pStyle w:val="Normal"/>
              <w:jc w:val="both"/>
              <w:rPr>
                <w:sz w:val="22"/>
              </w:rPr>
            </w:pPr>
            <w:r>
              <w:rPr>
                <w:sz w:val="22"/>
              </w:rPr>
            </w:r>
          </w:p>
          <w:p>
            <w:pPr>
              <w:pStyle w:val="Normal"/>
              <w:jc w:val="both"/>
              <w:rPr>
                <w:sz w:val="22"/>
              </w:rPr>
            </w:pPr>
            <w:r>
              <w:rPr>
                <w:sz w:val="22"/>
              </w:rPr>
              <w:t>Commodity Unit:</w:t>
            </w:r>
          </w:p>
          <w:p>
            <w:pPr>
              <w:pStyle w:val="Normal"/>
              <w:jc w:val="both"/>
              <w:rPr>
                <w:sz w:val="22"/>
              </w:rPr>
            </w:pPr>
            <w:r>
              <w:rPr>
                <w:sz w:val="22"/>
              </w:rPr>
            </w:r>
          </w:p>
        </w:tc>
        <w:tc>
          <w:tcPr>
            <w:tcW w:w="6408" w:type="dxa"/>
            <w:tcBorders/>
          </w:tcPr>
          <w:p>
            <w:pPr>
              <w:pStyle w:val="Normal"/>
              <w:snapToGrid w:val="false"/>
              <w:jc w:val="both"/>
              <w:rPr>
                <w:sz w:val="22"/>
              </w:rPr>
            </w:pPr>
            <w:r>
              <w:rPr>
                <w:sz w:val="22"/>
              </w:rPr>
            </w:r>
          </w:p>
          <w:p>
            <w:pPr>
              <w:pStyle w:val="Normal"/>
              <w:jc w:val="both"/>
              <w:rPr>
                <w:sz w:val="22"/>
              </w:rPr>
            </w:pPr>
            <w:r>
              <w:rPr>
                <w:sz w:val="22"/>
              </w:rPr>
              <w:t xml:space="preserve">Electricity </w:t>
            </w:r>
          </w:p>
          <w:p>
            <w:pPr>
              <w:pStyle w:val="Normal"/>
              <w:jc w:val="both"/>
              <w:rPr>
                <w:sz w:val="22"/>
              </w:rPr>
            </w:pPr>
            <w:r>
              <w:rPr>
                <w:sz w:val="22"/>
              </w:rPr>
            </w:r>
          </w:p>
          <w:p>
            <w:pPr>
              <w:pStyle w:val="Normal"/>
              <w:jc w:val="both"/>
              <w:rPr>
                <w:sz w:val="22"/>
              </w:rPr>
            </w:pPr>
            <w:r>
              <w:rPr>
                <w:sz w:val="22"/>
              </w:rPr>
              <w:t>MWh (Megawatt hours)</w:t>
            </w:r>
          </w:p>
        </w:tc>
      </w:tr>
      <w:tr>
        <w:trPr/>
        <w:tc>
          <w:tcPr>
            <w:tcW w:w="3168" w:type="dxa"/>
            <w:tcBorders/>
          </w:tcPr>
          <w:p>
            <w:pPr>
              <w:pStyle w:val="Normal"/>
              <w:jc w:val="both"/>
              <w:rPr>
                <w:sz w:val="22"/>
              </w:rPr>
            </w:pPr>
            <w:r>
              <w:rPr>
                <w:sz w:val="22"/>
              </w:rPr>
              <w:t>Trade Date:</w:t>
            </w:r>
          </w:p>
        </w:tc>
        <w:tc>
          <w:tcPr>
            <w:tcW w:w="6408" w:type="dxa"/>
            <w:tcBorders/>
          </w:tcPr>
          <w:p>
            <w:pPr>
              <w:pStyle w:val="Normal"/>
              <w:jc w:val="both"/>
              <w:rPr>
                <w:color w:val="FF0000"/>
                <w:sz w:val="22"/>
              </w:rPr>
            </w:pPr>
            <w:r>
              <w:rPr>
                <w:color w:val="FF0000"/>
                <w:sz w:val="22"/>
              </w:rPr>
              <w:t>&lt;&lt;DealDate&gt;&gt;</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Effective Date:</w:t>
            </w:r>
          </w:p>
        </w:tc>
        <w:tc>
          <w:tcPr>
            <w:tcW w:w="6408" w:type="dxa"/>
            <w:tcBorders/>
          </w:tcPr>
          <w:p>
            <w:pPr>
              <w:pStyle w:val="Normal"/>
              <w:jc w:val="both"/>
              <w:rPr>
                <w:color w:val="FF0000"/>
                <w:sz w:val="22"/>
              </w:rPr>
            </w:pPr>
            <w:r>
              <w:rPr>
                <w:color w:val="000000"/>
                <w:sz w:val="22"/>
              </w:rPr>
              <w:t xml:space="preserve">January 01, 2000 </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Termination Date:</w:t>
            </w:r>
          </w:p>
        </w:tc>
        <w:tc>
          <w:tcPr>
            <w:tcW w:w="6408" w:type="dxa"/>
            <w:tcBorders/>
          </w:tcPr>
          <w:p>
            <w:pPr>
              <w:pStyle w:val="Normal"/>
              <w:jc w:val="both"/>
              <w:rPr>
                <w:color w:val="FF0000"/>
                <w:sz w:val="22"/>
              </w:rPr>
            </w:pPr>
            <w:r>
              <w:rPr>
                <w:color w:val="000000"/>
                <w:sz w:val="22"/>
              </w:rPr>
              <w:t>December 31, 2000</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Determination Period:</w:t>
            </w:r>
          </w:p>
        </w:tc>
        <w:tc>
          <w:tcPr>
            <w:tcW w:w="6408" w:type="dxa"/>
            <w:tcBorders/>
          </w:tcPr>
          <w:p>
            <w:pPr>
              <w:pStyle w:val="Normal"/>
              <w:jc w:val="both"/>
              <w:rPr>
                <w:color w:val="FF0000"/>
                <w:sz w:val="22"/>
              </w:rPr>
            </w:pPr>
            <w:r>
              <w:rPr>
                <w:color w:val="000000"/>
                <w:sz w:val="22"/>
              </w:rPr>
              <w:t>Monthly</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Payment Date(s):</w:t>
            </w:r>
          </w:p>
        </w:tc>
        <w:tc>
          <w:tcPr>
            <w:tcW w:w="6408" w:type="dxa"/>
            <w:tcBorders/>
          </w:tcPr>
          <w:p>
            <w:pPr>
              <w:pStyle w:val="Normal"/>
              <w:jc w:val="both"/>
              <w:rPr/>
            </w:pPr>
            <w:r>
              <w:rPr>
                <w:sz w:val="22"/>
              </w:rPr>
              <w:t>The tenth (10</w:t>
            </w:r>
            <w:r>
              <w:rPr>
                <w:sz w:val="22"/>
                <w:vertAlign w:val="superscript"/>
              </w:rPr>
              <w:t>th</w:t>
            </w:r>
            <w:r>
              <w:rPr>
                <w:sz w:val="22"/>
              </w:rPr>
              <w:t>) Business Day following the date on which the Floating Price is determinable</w:t>
            </w:r>
          </w:p>
          <w:p>
            <w:pPr>
              <w:pStyle w:val="Normal"/>
              <w:jc w:val="both"/>
              <w:rPr>
                <w:sz w:val="22"/>
              </w:rPr>
            </w:pPr>
            <w:r>
              <w:rPr>
                <w:sz w:val="22"/>
              </w:rPr>
            </w:r>
          </w:p>
        </w:tc>
      </w:tr>
      <w:tr>
        <w:trPr/>
        <w:tc>
          <w:tcPr>
            <w:tcW w:w="3168" w:type="dxa"/>
            <w:tcBorders/>
          </w:tcPr>
          <w:p>
            <w:pPr>
              <w:pStyle w:val="Normal"/>
              <w:jc w:val="both"/>
              <w:rPr>
                <w:sz w:val="22"/>
              </w:rPr>
            </w:pPr>
            <w:r>
              <w:rPr>
                <w:sz w:val="22"/>
              </w:rPr>
              <w:t>Fixed Price Payor:</w:t>
            </w:r>
          </w:p>
        </w:tc>
        <w:tc>
          <w:tcPr>
            <w:tcW w:w="6408" w:type="dxa"/>
            <w:tcBorders/>
          </w:tcPr>
          <w:p>
            <w:pPr>
              <w:pStyle w:val="Normal"/>
              <w:jc w:val="both"/>
              <w:rPr>
                <w:color w:val="FF0000"/>
                <w:sz w:val="22"/>
              </w:rPr>
            </w:pPr>
            <w:r>
              <w:rPr>
                <w:color w:val="000000"/>
                <w:sz w:val="22"/>
              </w:rPr>
              <w:t>Enron Capital &amp; Trade Resources Corp.</w:t>
            </w:r>
          </w:p>
        </w:tc>
      </w:tr>
      <w:tr>
        <w:trPr/>
        <w:tc>
          <w:tcPr>
            <w:tcW w:w="3168" w:type="dxa"/>
            <w:tcBorders/>
          </w:tcPr>
          <w:p>
            <w:pPr>
              <w:pStyle w:val="Normal"/>
              <w:snapToGrid w:val="false"/>
              <w:jc w:val="both"/>
              <w:rPr>
                <w:color w:val="FF0000"/>
                <w:sz w:val="22"/>
              </w:rPr>
            </w:pPr>
            <w:r>
              <w:rPr>
                <w:color w:val="FF0000"/>
                <w:sz w:val="22"/>
              </w:rPr>
            </w:r>
          </w:p>
          <w:p>
            <w:pPr>
              <w:pStyle w:val="Normal"/>
              <w:jc w:val="both"/>
              <w:rPr>
                <w:sz w:val="22"/>
              </w:rPr>
            </w:pPr>
            <w:r>
              <w:rPr>
                <w:sz w:val="22"/>
              </w:rPr>
              <w:t>Fixed Price:</w:t>
            </w:r>
          </w:p>
        </w:tc>
        <w:tc>
          <w:tcPr>
            <w:tcW w:w="6408" w:type="dxa"/>
            <w:tcBorders/>
          </w:tcPr>
          <w:p>
            <w:pPr>
              <w:pStyle w:val="Normal"/>
              <w:snapToGrid w:val="false"/>
              <w:jc w:val="both"/>
              <w:rPr>
                <w:sz w:val="22"/>
              </w:rPr>
            </w:pPr>
            <w:r>
              <w:rPr>
                <w:sz w:val="22"/>
              </w:rPr>
            </w:r>
          </w:p>
          <w:p>
            <w:pPr>
              <w:pStyle w:val="Normal"/>
              <w:jc w:val="both"/>
              <w:rPr>
                <w:color w:val="000000"/>
                <w:sz w:val="22"/>
              </w:rPr>
            </w:pPr>
            <w:r>
              <w:rPr>
                <w:color w:val="000000"/>
                <w:sz w:val="22"/>
              </w:rPr>
              <w:t xml:space="preserve">$ 33.75 per MWh </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color w:val="FF0000"/>
                <w:sz w:val="22"/>
              </w:rPr>
            </w:pPr>
            <w:r>
              <w:rPr>
                <w:color w:val="FF0000"/>
                <w:sz w:val="22"/>
              </w:rPr>
            </w:r>
          </w:p>
        </w:tc>
      </w:tr>
      <w:tr>
        <w:trPr>
          <w:trHeight w:val="387" w:hRule="atLeast"/>
        </w:trPr>
        <w:tc>
          <w:tcPr>
            <w:tcW w:w="3168" w:type="dxa"/>
            <w:tcBorders/>
          </w:tcPr>
          <w:p>
            <w:pPr>
              <w:pStyle w:val="Normal"/>
              <w:jc w:val="both"/>
              <w:rPr>
                <w:sz w:val="22"/>
              </w:rPr>
            </w:pPr>
            <w:r>
              <w:rPr>
                <w:sz w:val="22"/>
              </w:rPr>
              <w:t>Floating Price Payor:</w:t>
            </w:r>
          </w:p>
        </w:tc>
        <w:tc>
          <w:tcPr>
            <w:tcW w:w="6408" w:type="dxa"/>
            <w:tcBorders/>
          </w:tcPr>
          <w:p>
            <w:pPr>
              <w:pStyle w:val="Normal"/>
              <w:jc w:val="both"/>
              <w:rPr>
                <w:color w:val="FF0000"/>
                <w:sz w:val="22"/>
              </w:rPr>
            </w:pPr>
            <w:r>
              <w:rPr>
                <w:color w:val="000000"/>
                <w:sz w:val="22"/>
              </w:rPr>
              <w:t>Deseret Generation &amp; Transmission Cooperative.</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Price: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c>
        <w:tc>
          <w:tcPr>
            <w:tcW w:w="6408" w:type="dxa"/>
            <w:tcBorders/>
          </w:tcPr>
          <w:p>
            <w:pPr>
              <w:pStyle w:val="Normal"/>
              <w:jc w:val="both"/>
              <w:rPr>
                <w:sz w:val="22"/>
              </w:rPr>
            </w:pPr>
            <w:r>
              <w:rPr>
                <w:color w:val="000000"/>
                <w:sz w:val="22"/>
                <w:lang w:eastAsia="en-US"/>
              </w:rPr>
              <w:t>The average of the daily settlement prices for On-Peak electricity as published (electronically or otherwise) by the California Power Exchange under the headings “Hourly Zonal Prices (Constrained):[SP-15]” for the applicable Determination Period; On-Peak hours: HE 0700 through HE 2200 PPT, Monday through Saturday (excluding Sundays and NERC Holidays)</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Contractual Currency:</w:t>
            </w:r>
          </w:p>
        </w:tc>
        <w:tc>
          <w:tcPr>
            <w:tcW w:w="6408" w:type="dxa"/>
            <w:tcBorders/>
          </w:tcPr>
          <w:p>
            <w:pPr>
              <w:pStyle w:val="Normal"/>
              <w:jc w:val="both"/>
              <w:rPr>
                <w:color w:val="000000"/>
                <w:sz w:val="22"/>
              </w:rPr>
            </w:pPr>
            <w:r>
              <w:rPr>
                <w:color w:val="000000"/>
                <w:sz w:val="22"/>
              </w:rPr>
              <w:t xml:space="preserve">US Dollars </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Governing Law:</w:t>
            </w:r>
          </w:p>
        </w:tc>
        <w:tc>
          <w:tcPr>
            <w:tcW w:w="6408" w:type="dxa"/>
            <w:tcBorders/>
          </w:tcPr>
          <w:p>
            <w:pPr>
              <w:pStyle w:val="Normal"/>
              <w:jc w:val="both"/>
              <w:rPr>
                <w:sz w:val="22"/>
              </w:rPr>
            </w:pPr>
            <w:r>
              <w:rPr>
                <w:sz w:val="22"/>
              </w:rPr>
              <w:t>New York</w:t>
            </w:r>
          </w:p>
          <w:p>
            <w:pPr>
              <w:pStyle w:val="Normal"/>
              <w:jc w:val="both"/>
              <w:rPr>
                <w:sz w:val="22"/>
              </w:rPr>
            </w:pPr>
            <w:r>
              <w:rPr>
                <w:sz w:val="22"/>
              </w:rPr>
            </w:r>
          </w:p>
        </w:tc>
      </w:tr>
      <w:tr>
        <w:trPr/>
        <w:tc>
          <w:tcPr>
            <w:tcW w:w="3168" w:type="dxa"/>
            <w:tcBorders/>
          </w:tcPr>
          <w:p>
            <w:pPr>
              <w:pStyle w:val="Normal"/>
              <w:jc w:val="both"/>
              <w:rPr>
                <w:sz w:val="22"/>
              </w:rPr>
            </w:pPr>
            <w:r>
              <w:rPr>
                <w:sz w:val="22"/>
              </w:rPr>
              <w:t>General Terms and Conditions of Confirmations:</w:t>
            </w:r>
          </w:p>
        </w:tc>
        <w:tc>
          <w:tcPr>
            <w:tcW w:w="6408" w:type="dxa"/>
            <w:tcBorders/>
          </w:tcPr>
          <w:p>
            <w:pPr>
              <w:pStyle w:val="Normal"/>
              <w:jc w:val="both"/>
              <w:rPr>
                <w:sz w:val="22"/>
              </w:rPr>
            </w:pPr>
            <w:r>
              <w:rPr>
                <w:sz w:val="22"/>
              </w:rPr>
              <w:t>The general terms and conditions contained in Annex A attached hereto and made a part hereof apply and are incorporated herein by reference</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rPr>
                <w:sz w:val="22"/>
              </w:rPr>
            </w:pPr>
            <w:r>
              <w:rPr>
                <w:sz w:val="22"/>
              </w:rPr>
              <w:t>Credit or Other Special Provisions:</w:t>
            </w:r>
          </w:p>
        </w:tc>
        <w:tc>
          <w:tcPr>
            <w:tcW w:w="6408" w:type="dxa"/>
            <w:tcBorders/>
          </w:tcPr>
          <w:p>
            <w:pPr>
              <w:pStyle w:val="Normal"/>
              <w:keepNext w:val="true"/>
              <w:keepLines/>
              <w:jc w:val="both"/>
              <w:rPr>
                <w:color w:val="FF0000"/>
                <w:sz w:val="22"/>
              </w:rPr>
            </w:pPr>
            <w:r>
              <w:rPr>
                <w:color w:val="FF0000"/>
                <w:sz w:val="22"/>
              </w:rPr>
              <w:t>&lt;&lt;CreditProvision&gt;&gt;</w:t>
            </w:r>
          </w:p>
        </w:tc>
      </w:tr>
    </w:tbl>
    <w:p>
      <w:pPr>
        <w:pStyle w:val="Normal"/>
        <w:jc w:val="both"/>
        <w:rPr>
          <w:sz w:val="22"/>
        </w:rPr>
      </w:pPr>
      <w:r>
        <w:rPr>
          <w:sz w:val="22"/>
        </w:rPr>
      </w:r>
    </w:p>
    <w:p>
      <w:pPr>
        <w:pStyle w:val="Normal"/>
        <w:ind w:firstLine="720" w:end="0"/>
        <w:jc w:val="both"/>
        <w:rPr/>
      </w:pPr>
      <w:r>
        <w:rPr>
          <w:sz w:val="22"/>
        </w:rPr>
        <w:t>For the purposes of the calculation of the Floating Price(s), all numbers shall be rounded to four (4) decimal places.  If the fourth (5</w:t>
      </w:r>
      <w:r>
        <w:rPr>
          <w:sz w:val="22"/>
          <w:vertAlign w:val="superscript"/>
        </w:rPr>
        <w:t>th</w:t>
      </w:r>
      <w:r>
        <w:rPr>
          <w:sz w:val="22"/>
        </w:rPr>
        <w:t>) decimal number is five (5) or greater, then the third (4</w:t>
      </w:r>
      <w:r>
        <w:rPr>
          <w:sz w:val="22"/>
          <w:vertAlign w:val="superscript"/>
        </w:rPr>
        <w:t>th</w:t>
      </w:r>
      <w:r>
        <w:rPr>
          <w:sz w:val="22"/>
        </w:rPr>
        <w:t>) decimal number shall be increased by one (1), and if the fourth (5</w:t>
      </w:r>
      <w:r>
        <w:rPr>
          <w:sz w:val="22"/>
          <w:vertAlign w:val="superscript"/>
        </w:rPr>
        <w:t>th</w:t>
      </w:r>
      <w:r>
        <w:rPr>
          <w:sz w:val="22"/>
        </w:rPr>
        <w:t>) decimal number is less than five (5), then the third (4</w:t>
      </w:r>
      <w:r>
        <w:rPr>
          <w:sz w:val="22"/>
          <w:vertAlign w:val="superscript"/>
        </w:rPr>
        <w:t>rd</w:t>
      </w:r>
      <w:r>
        <w:rPr>
          <w:sz w:val="22"/>
        </w:rPr>
        <w:t>) decimal number shall remain unchanged.</w:t>
      </w:r>
    </w:p>
    <w:p>
      <w:pPr>
        <w:pStyle w:val="Normal"/>
        <w:jc w:val="both"/>
        <w:rPr>
          <w:sz w:val="22"/>
        </w:rPr>
      </w:pPr>
      <w:r>
        <w:rPr>
          <w:sz w:val="22"/>
        </w:rPr>
      </w:r>
    </w:p>
    <w:p>
      <w:pPr>
        <w:pStyle w:val="BodyTextIndent2"/>
        <w:rPr/>
      </w:pPr>
      <w:r>
        <w:rPr/>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end="-450"/>
        <w:jc w:val="both"/>
        <w:rPr>
          <w:sz w:val="22"/>
        </w:rPr>
      </w:pPr>
      <w:r>
        <w:rPr>
          <w:sz w:val="22"/>
        </w:rPr>
      </w:r>
    </w:p>
    <w:p>
      <w:pPr>
        <w:pStyle w:val="Normal"/>
        <w:ind w:end="-72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b/>
          <w:sz w:val="22"/>
        </w:rPr>
      </w:pPr>
      <w:r>
        <w:rPr>
          <w:b/>
          <w:sz w:val="22"/>
        </w:rPr>
        <w:t>ENRON CAPITAL &amp; TRADE RESOURCES CORP.</w:t>
      </w:r>
    </w:p>
    <w:p>
      <w:pPr>
        <w:pStyle w:val="Normal"/>
        <w:jc w:val="both"/>
        <w:rPr>
          <w:b/>
          <w:sz w:val="22"/>
        </w:rPr>
      </w:pPr>
      <w:r>
        <w:rPr>
          <w:b/>
          <w:sz w:val="22"/>
        </w:rPr>
      </w:r>
    </w:p>
    <w:p>
      <w:pPr>
        <w:pStyle w:val="Normal"/>
        <w:keepNext w:val="true"/>
        <w:jc w:val="both"/>
        <w:rPr>
          <w:sz w:val="22"/>
        </w:rPr>
      </w:pPr>
      <w:r>
        <w:rPr>
          <w:sz w:val="22"/>
        </w:rPr>
        <w:t>By:</w:t>
        <w:tab/>
      </w:r>
      <w:r>
        <w:rPr>
          <w:b/>
          <w:sz w:val="22"/>
        </w:rPr>
        <w:t>DRAFT</w:t>
      </w:r>
    </w:p>
    <w:p>
      <w:pPr>
        <w:pStyle w:val="Normal"/>
        <w:keepNext w:val="true"/>
        <w:jc w:val="both"/>
        <w:rPr>
          <w:sz w:val="22"/>
        </w:rPr>
      </w:pPr>
      <w:r>
        <w:rPr>
          <w:sz w:val="22"/>
        </w:rPr>
        <w:t>Name:</w:t>
        <w:tab/>
        <w:t>_____________________________</w:t>
      </w:r>
    </w:p>
    <w:p>
      <w:pPr>
        <w:pStyle w:val="Normal"/>
        <w:keepNext w:val="true"/>
        <w:jc w:val="both"/>
        <w:rPr>
          <w:sz w:val="22"/>
        </w:rPr>
      </w:pPr>
      <w:r>
        <w:rPr>
          <w:sz w:val="22"/>
        </w:rPr>
        <w:t>Title:</w:t>
        <w:tab/>
        <w:t>_____________________________</w:t>
      </w:r>
    </w:p>
    <w:p>
      <w:pPr>
        <w:pStyle w:val="Normal"/>
        <w:keepNext w:val="true"/>
        <w:jc w:val="both"/>
        <w:rPr>
          <w:sz w:val="22"/>
        </w:rPr>
      </w:pPr>
      <w:r>
        <w:rPr>
          <w:sz w:val="22"/>
        </w:rPr>
      </w:r>
    </w:p>
    <w:p>
      <w:pPr>
        <w:pStyle w:val="Normal"/>
        <w:keepNext w:val="true"/>
        <w:jc w:val="both"/>
        <w:rPr>
          <w:sz w:val="22"/>
        </w:rPr>
      </w:pPr>
      <w:r>
        <w:rPr>
          <w:sz w:val="22"/>
        </w:rPr>
        <w:t>Confirmed as of the Trade Date:</w:t>
      </w:r>
    </w:p>
    <w:p>
      <w:pPr>
        <w:pStyle w:val="Normal"/>
        <w:keepNext w:val="true"/>
        <w:jc w:val="both"/>
        <w:rPr>
          <w:sz w:val="22"/>
        </w:rPr>
      </w:pPr>
      <w:r>
        <w:rPr>
          <w:sz w:val="22"/>
        </w:rPr>
      </w:r>
    </w:p>
    <w:p>
      <w:pPr>
        <w:pStyle w:val="Heading1"/>
        <w:ind w:hanging="0" w:start="0"/>
        <w:rPr/>
      </w:pPr>
      <w:r>
        <w:rPr/>
        <w:t>DESERET GENERATION &amp; TRANSMISSION COOPERATIVE</w:t>
      </w:r>
    </w:p>
    <w:p>
      <w:pPr>
        <w:pStyle w:val="Normal"/>
        <w:keepNext w:val="true"/>
        <w:jc w:val="both"/>
        <w:rPr>
          <w:sz w:val="22"/>
        </w:rPr>
      </w:pPr>
      <w:r>
        <w:rPr>
          <w:sz w:val="22"/>
        </w:rPr>
      </w:r>
    </w:p>
    <w:p>
      <w:pPr>
        <w:pStyle w:val="Normal"/>
        <w:keepNext w:val="true"/>
        <w:jc w:val="both"/>
        <w:rPr>
          <w:sz w:val="22"/>
        </w:rPr>
      </w:pPr>
      <w:r>
        <w:rPr>
          <w:sz w:val="22"/>
        </w:rPr>
        <w:t>By:</w:t>
        <w:tab/>
      </w:r>
      <w:r>
        <w:rPr>
          <w:b/>
          <w:sz w:val="22"/>
        </w:rPr>
        <w:t>DRAFT</w:t>
      </w:r>
    </w:p>
    <w:p>
      <w:pPr>
        <w:pStyle w:val="Normal"/>
        <w:keepNext w:val="true"/>
        <w:jc w:val="both"/>
        <w:rPr>
          <w:sz w:val="22"/>
        </w:rPr>
      </w:pPr>
      <w:r>
        <w:rPr>
          <w:sz w:val="22"/>
        </w:rPr>
        <w:t>Name:</w:t>
        <w:tab/>
        <w:t>_____________________________</w:t>
      </w:r>
    </w:p>
    <w:p>
      <w:pPr>
        <w:pStyle w:val="Normal"/>
        <w:keepNext w:val="true"/>
        <w:jc w:val="both"/>
        <w:rPr>
          <w:sz w:val="22"/>
        </w:rPr>
      </w:pPr>
      <w:r>
        <w:rPr>
          <w:sz w:val="22"/>
        </w:rPr>
        <w:t>Title:</w:t>
        <w:tab/>
        <w:t>_____________________________</w:t>
      </w:r>
    </w:p>
    <w:p>
      <w:pPr>
        <w:pStyle w:val="Normal"/>
        <w:ind w:hanging="3600" w:start="3600" w:end="0"/>
        <w:jc w:val="both"/>
        <w:rPr>
          <w:sz w:val="22"/>
        </w:rPr>
      </w:pPr>
      <w:r>
        <w:rPr>
          <w:sz w:val="22"/>
        </w:rPr>
      </w:r>
    </w:p>
    <w:p>
      <w:pPr>
        <w:pStyle w:val="Normal"/>
        <w:ind w:end="-720"/>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sz w:val="22"/>
              </w:rPr>
              <w:t>:</w:t>
            </w:r>
          </w:p>
        </w:tc>
        <w:tc>
          <w:tcPr>
            <w:tcW w:w="4968" w:type="dxa"/>
            <w:tcBorders/>
          </w:tcPr>
          <w:p>
            <w:pPr>
              <w:pStyle w:val="Norma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4608"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6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68"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rPr>
                <w:sz w:val="22"/>
              </w:rPr>
            </w:pPr>
            <w:r>
              <w:rPr>
                <w:sz w:val="22"/>
              </w:rPr>
              <w:t>Attention: Director, Documentation Department</w:t>
            </w:r>
          </w:p>
        </w:tc>
        <w:tc>
          <w:tcPr>
            <w:tcW w:w="4968" w:type="dxa"/>
            <w:tcBorders/>
          </w:tcPr>
          <w:p>
            <w:pPr>
              <w:pStyle w:val="Norma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r>
              <w:rPr>
                <w:sz w:val="22"/>
              </w:rPr>
              <w:t>)</w:t>
            </w:r>
          </w:p>
        </w:tc>
      </w:tr>
      <w:tr>
        <w:trPr/>
        <w:tc>
          <w:tcPr>
            <w:tcW w:w="46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68" w:type="dxa"/>
            <w:tcBorders/>
          </w:tcPr>
          <w:p>
            <w:pPr>
              <w:pStyle w:val="Normal"/>
              <w:snapToGrid w:val="false"/>
              <w:rPr>
                <w:sz w:val="22"/>
              </w:rPr>
            </w:pPr>
            <w:r>
              <w:rPr>
                <w:sz w:val="22"/>
              </w:rPr>
            </w:r>
          </w:p>
        </w:tc>
      </w:tr>
    </w:tbl>
    <w:p>
      <w:pPr>
        <w:pStyle w:val="Normal"/>
        <w:rPr>
          <w:sz w:val="22"/>
        </w:rPr>
      </w:pPr>
      <w:r>
        <w:rPr>
          <w:sz w:val="22"/>
        </w:rPr>
      </w:r>
    </w:p>
    <w:p>
      <w:pPr>
        <w:pStyle w:val="BodyText3"/>
        <w:rPr/>
      </w:pPr>
      <w:r>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ind w:end="-270"/>
        <w:rPr/>
      </w:pPr>
      <w:r>
        <w:rPr>
          <w:b/>
          <w:sz w:val="22"/>
          <w:u w:val="single"/>
        </w:rPr>
        <w:t>Address for Notices to Counterparty:</w:t>
      </w:r>
      <w:r>
        <w:rPr>
          <w:sz w:val="22"/>
        </w:rPr>
        <w:tab/>
        <w:t xml:space="preserve">           </w:t>
      </w:r>
      <w:r>
        <w:rPr>
          <w:b/>
          <w:sz w:val="22"/>
          <w:u w:val="single"/>
        </w:rPr>
        <w:t>Payment Account Information for Counterparty:</w:t>
      </w:r>
    </w:p>
    <w:p>
      <w:pPr>
        <w:pStyle w:val="Normal"/>
        <w:rPr>
          <w:b/>
          <w:sz w:val="22"/>
          <w:u w:val="single"/>
        </w:rPr>
      </w:pPr>
      <w:r>
        <w:rPr>
          <w:b/>
          <w:sz w:val="22"/>
          <w:u w:val="single"/>
        </w:rPr>
      </w:r>
    </w:p>
    <w:p>
      <w:pPr>
        <w:pStyle w:val="Normal"/>
        <w:rPr>
          <w:sz w:val="22"/>
        </w:rPr>
      </w:pPr>
      <w:r>
        <w:rPr>
          <w:sz w:val="22"/>
        </w:rPr>
        <w:t xml:space="preserve">Address: </w:t>
        <w:tab/>
        <w:tab/>
        <w:tab/>
        <w:tab/>
        <w:tab/>
        <w:tab/>
        <w:t>Wire Transfer to:</w:t>
        <w:tab/>
        <w:t xml:space="preserve">                 </w:t>
      </w:r>
    </w:p>
    <w:p>
      <w:pPr>
        <w:pStyle w:val="Normal"/>
        <w:rPr>
          <w:sz w:val="22"/>
        </w:rPr>
      </w:pPr>
      <w:r>
        <w:rPr>
          <w:sz w:val="22"/>
        </w:rPr>
        <w:t xml:space="preserve">               </w:t>
      </w:r>
      <w:r>
        <w:rPr>
          <w:sz w:val="22"/>
        </w:rPr>
        <w:tab/>
        <w:tab/>
        <w:t xml:space="preserve">                                                    Acct No..</w:t>
      </w:r>
    </w:p>
    <w:p>
      <w:pPr>
        <w:pStyle w:val="Normal"/>
        <w:rPr>
          <w:sz w:val="22"/>
        </w:rPr>
      </w:pPr>
      <w:r>
        <w:rPr>
          <w:sz w:val="22"/>
        </w:rPr>
        <w:t xml:space="preserve"> </w:t>
      </w:r>
      <w:r>
        <w:rPr>
          <w:sz w:val="22"/>
        </w:rPr>
        <w:tab/>
        <w:tab/>
        <w:tab/>
        <w:tab/>
        <w:tab/>
        <w:tab/>
        <w:tab/>
        <w:t>ABA No.</w:t>
        <w:tab/>
        <w:t xml:space="preserve">       </w:t>
      </w:r>
    </w:p>
    <w:p>
      <w:pPr>
        <w:pStyle w:val="Normal"/>
        <w:rPr>
          <w:sz w:val="22"/>
        </w:rPr>
      </w:pPr>
      <w:r>
        <w:rPr>
          <w:sz w:val="22"/>
        </w:rPr>
        <w:t xml:space="preserve"> </w:t>
      </w:r>
    </w:p>
    <w:p>
      <w:pPr>
        <w:pStyle w:val="Normal"/>
        <w:rPr>
          <w:sz w:val="22"/>
        </w:rPr>
      </w:pPr>
      <w:r>
        <w:rPr>
          <w:sz w:val="22"/>
        </w:rPr>
        <w:t xml:space="preserve">Attention: </w:t>
      </w:r>
    </w:p>
    <w:p>
      <w:pPr>
        <w:pStyle w:val="Normal"/>
        <w:rPr>
          <w:sz w:val="22"/>
        </w:rPr>
      </w:pPr>
      <w:r>
        <w:rPr>
          <w:sz w:val="22"/>
        </w:rPr>
        <w:t xml:space="preserve">Fax: </w:t>
      </w:r>
    </w:p>
    <w:p>
      <w:pPr>
        <w:pStyle w:val="Normal"/>
        <w:rPr>
          <w:sz w:val="22"/>
        </w:rPr>
      </w:pPr>
      <w:r>
        <w:rPr>
          <w:sz w:val="22"/>
        </w:rPr>
        <w:t xml:space="preserve">Phone: </w:t>
      </w:r>
    </w:p>
    <w:p>
      <w:pPr>
        <w:pStyle w:val="Normal"/>
        <w:rPr>
          <w:sz w:val="22"/>
        </w:rPr>
      </w:pPr>
      <w:r>
        <w:rPr>
          <w:sz w:val="22"/>
        </w:rPr>
      </w:r>
    </w:p>
    <w:p>
      <w:pPr>
        <w:pStyle w:val="Normal"/>
        <w:rPr>
          <w:b/>
          <w:sz w:val="22"/>
        </w:rPr>
      </w:pPr>
      <w:r>
        <w:rPr>
          <w:b/>
          <w:sz w:val="22"/>
        </w:rPr>
        <w:t>COUNTERPARTY: PLEASE PROVIDE ABOVE REQUESTED INFORMATION IF NOT PROVIDED PREVIOUSLY OR IF CHANGES</w:t>
      </w:r>
    </w:p>
    <w:p>
      <w:pPr>
        <w:pStyle w:val="Normal"/>
        <w:ind w:hanging="3600" w:start="3600" w:end="0"/>
        <w:jc w:val="both"/>
        <w:rPr>
          <w:b/>
          <w:sz w:val="22"/>
        </w:rPr>
      </w:pPr>
      <w:r>
        <w:rPr>
          <w:b/>
          <w:sz w:val="22"/>
        </w:rPr>
      </w:r>
    </w:p>
    <w:sectPr>
      <w:headerReference w:type="default" r:id="rId3"/>
      <w:footerReference w:type="default" r:id="rId4"/>
      <w:type w:val="nextPage"/>
      <w:pgSz w:w="12240" w:h="15840"/>
      <w:pgMar w:left="1440" w:right="1440" w:gutter="0" w:header="72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sz w:val="22"/>
      </w:rPr>
    </w:pPr>
    <w:r>
      <w:rPr/>
      <w:t>______________________________</w:t>
    </w:r>
    <w:r>
      <w:rPr>
        <w:sz w:val="22"/>
      </w:rPr>
      <w:tab/>
    </w:r>
    <w:r>
      <w:rPr>
        <w:rStyle w:val="PageNumber"/>
        <w:rFonts w:cs="Times New Roman" w:ascii="Times New Roman" w:hAnsi="Times New Roman"/>
        <w:b/>
        <w:sz w:val="22"/>
      </w:rPr>
      <w:fldChar w:fldCharType="begin"/>
    </w:r>
    <w:r>
      <w:rPr>
        <w:rStyle w:val="PageNumber"/>
        <w:sz w:val="22"/>
        <w:b/>
        <w:rFonts w:cs="Times New Roman" w:ascii="Times New Roman" w:hAnsi="Times New Roman"/>
      </w:rPr>
      <w:instrText xml:space="preserve"> PAGE </w:instrText>
    </w:r>
    <w:r>
      <w:rPr>
        <w:rStyle w:val="PageNumber"/>
        <w:sz w:val="22"/>
        <w:b/>
        <w:rFonts w:cs="Times New Roman" w:ascii="Times New Roman" w:hAnsi="Times New Roman"/>
      </w:rPr>
      <w:fldChar w:fldCharType="separate"/>
    </w:r>
    <w:r>
      <w:rPr>
        <w:rStyle w:val="PageNumber"/>
        <w:sz w:val="22"/>
        <w:b/>
        <w:rFonts w:cs="Times New Roman" w:ascii="Times New Roman" w:hAnsi="Times New Roman"/>
      </w:rPr>
      <w:t>4</w:t>
    </w:r>
    <w:r>
      <w:rPr>
        <w:rStyle w:val="PageNumber"/>
        <w:sz w:val="22"/>
        <w:b/>
        <w:rFonts w:cs="Times New Roman" w:ascii="Times New Roman" w:hAnsi="Times New Roman"/>
      </w:rPr>
      <w:fldChar w:fldCharType="end"/>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sz w:val="20"/>
      </w:rPr>
      <w:t>DRAFT PROPOSAL</w:t>
    </w:r>
  </w:p>
  <w:p>
    <w:pPr>
      <w:pStyle w:val="Header"/>
      <w:rPr/>
    </w:pPr>
    <w:r>
      <w:rPr>
        <w:rStyle w:val="PageNumber"/>
      </w:rPr>
      <w:tab/>
      <w:t xml:space="preserve">        Subject to Credit Review</w:t>
      <w:tab/>
      <w:tab/>
      <w:tab/>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8" w:end="0"/>
      <w:jc w:val="both"/>
    </w:pPr>
    <w:rPr>
      <w:sz w:val="22"/>
    </w:rPr>
  </w:style>
  <w:style w:type="paragraph" w:styleId="JAC">
    <w:name w:val="JAC"/>
    <w:basedOn w:val="Normal"/>
    <w:qFormat/>
    <w:pPr>
      <w:widowControl w:val="false"/>
      <w:spacing w:before="0" w:after="240"/>
      <w:ind w:firstLine="720" w:start="0" w:end="0"/>
      <w:jc w:val="both"/>
    </w:pPr>
    <w:rPr>
      <w:sz w:val="28"/>
    </w:rPr>
  </w:style>
  <w:style w:type="paragraph" w:styleId="BodyTextIndent2">
    <w:name w:val="Body Text Indent 2"/>
    <w:basedOn w:val="Normal"/>
    <w:qFormat/>
    <w:pPr>
      <w:ind w:firstLine="720" w:start="0" w:end="-450"/>
      <w:jc w:val="both"/>
    </w:pPr>
    <w:rPr>
      <w:sz w:val="22"/>
    </w:rPr>
  </w:style>
  <w:style w:type="paragraph" w:styleId="BodyText2">
    <w:name w:val="Body Text 2"/>
    <w:basedOn w:val="Normal"/>
    <w:qFormat/>
    <w:pPr>
      <w:jc w:val="both"/>
    </w:pPr>
    <w:rPr>
      <w:sz w:val="22"/>
    </w:rPr>
  </w:style>
  <w:style w:type="paragraph" w:styleId="BodyText3">
    <w:name w:val="Body Text 3"/>
    <w:basedOn w:val="Normal"/>
    <w:qFormat/>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1999-09-30T14:46:00Z</dcterms:created>
  <dc:creator>appinst</dc:creator>
  <dc:description/>
  <dc:language>en-CA</dc:language>
  <cp:lastModifiedBy>metring</cp:lastModifiedBy>
  <cp:lastPrinted>1999-04-28T09:58:00Z</cp:lastPrinted>
  <dcterms:modified xsi:type="dcterms:W3CDTF">1999-09-30T14:46:00Z</dcterms:modified>
  <cp:revision>2</cp:revision>
  <dc:subject/>
  <dc:title> </dc:title>
</cp:coreProperties>
</file>