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Heading"/>
        <w:jc w:val="center"/>
        <w:rPr/>
      </w:pPr>
      <w:r>
        <w:rPr/>
        <w:t>DRAFT</w:t>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Taylor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p>
            <w:pPr>
              <w:pStyle w:val="From"/>
              <w:rPr/>
            </w:pPr>
            <w:r>
              <w:rPr/>
            </w:r>
          </w:p>
          <w:p>
            <w:pPr>
              <w:pStyle w:val="From"/>
              <w:rPr/>
            </w:pPr>
            <w:r>
              <w:rPr/>
            </w:r>
          </w:p>
          <w:p>
            <w:pPr>
              <w:pStyle w:val="From"/>
              <w:rPr/>
            </w:pPr>
            <w:r>
              <w:rPr/>
            </w:r>
          </w:p>
          <w:p>
            <w:pPr>
              <w:pStyle w:val="From"/>
              <w:rPr/>
            </w:pPr>
            <w:r>
              <w:rPr/>
            </w:r>
          </w:p>
          <w:p>
            <w:pPr>
              <w:pStyle w:val="From"/>
              <w:rPr/>
            </w:pPr>
            <w:r>
              <w:rPr/>
            </w:r>
          </w:p>
          <w:p>
            <w:pPr>
              <w:pStyle w:val="From"/>
              <w:rPr/>
            </w:pPr>
            <w:r>
              <w:rPr/>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SWAP GROUP DISCUSSION ISSUES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snapToGrid w:val="false"/>
              <w:rPr>
                <w:sz w:val="16"/>
              </w:rPr>
            </w:pPr>
            <w:r>
              <w:rPr>
                <w:sz w:val="16"/>
              </w:rPr>
            </w:r>
          </w:p>
        </w:tc>
      </w:tr>
    </w:tbl>
    <w:p>
      <w:pPr>
        <w:pStyle w:val="Body"/>
        <w:rPr/>
      </w:pPr>
      <w:r>
        <w:rPr/>
      </w:r>
      <w:bookmarkStart w:id="2" w:name="StartOfMemo"/>
      <w:bookmarkStart w:id="3" w:name="StartOfMemo"/>
      <w:bookmarkEnd w:id="3"/>
    </w:p>
    <w:p>
      <w:pPr>
        <w:pStyle w:val="Body"/>
        <w:rPr>
          <w:color w:val="000000"/>
        </w:rPr>
      </w:pPr>
      <w:r>
        <w:rPr>
          <w:color w:val="000000"/>
        </w:rPr>
      </w:r>
    </w:p>
    <w:p>
      <w:pPr>
        <w:pStyle w:val="Department"/>
        <w:numPr>
          <w:ilvl w:val="0"/>
          <w:numId w:val="8"/>
        </w:numPr>
        <w:rPr/>
      </w:pPr>
      <w:r>
        <w:rPr/>
        <w:t>Market Quotation alternative:</w:t>
      </w:r>
    </w:p>
    <w:p>
      <w:pPr>
        <w:pStyle w:val="Department"/>
        <w:numPr>
          <w:ilvl w:val="0"/>
          <w:numId w:val="4"/>
        </w:numPr>
        <w:tabs>
          <w:tab w:val="left" w:pos="540" w:leader="none"/>
        </w:tabs>
        <w:rPr/>
      </w:pPr>
      <w:r>
        <w:rPr/>
        <w:t>time limitation (2 years vs. 3 years)</w:t>
      </w:r>
    </w:p>
    <w:p>
      <w:pPr>
        <w:pStyle w:val="Department"/>
        <w:numPr>
          <w:ilvl w:val="0"/>
          <w:numId w:val="4"/>
        </w:numPr>
        <w:tabs>
          <w:tab w:val="left" w:pos="540" w:leader="none"/>
          <w:tab w:val="left" w:pos="900" w:leader="none"/>
        </w:tabs>
        <w:rPr/>
      </w:pPr>
      <w:r>
        <w:rPr/>
        <w:t>product limitation (all products vs. natural gas, etc.)</w:t>
      </w:r>
    </w:p>
    <w:p>
      <w:pPr>
        <w:pStyle w:val="Department"/>
        <w:tabs>
          <w:tab w:val="left" w:pos="540" w:leader="none"/>
          <w:tab w:val="left" w:pos="900" w:leader="none"/>
        </w:tabs>
        <w:rPr/>
      </w:pPr>
      <w:r>
        <w:rPr/>
      </w:r>
    </w:p>
    <w:p>
      <w:pPr>
        <w:pStyle w:val="Department"/>
        <w:tabs>
          <w:tab w:val="left" w:pos="540" w:leader="none"/>
          <w:tab w:val="left" w:pos="900" w:leader="none"/>
        </w:tabs>
        <w:rPr/>
      </w:pPr>
      <w:r>
        <w:rPr/>
        <w:t>(2)</w:t>
        <w:tab/>
        <w:t>(a)</w:t>
        <w:tab/>
        <w:t>arbitration revision</w:t>
      </w:r>
    </w:p>
    <w:p>
      <w:pPr>
        <w:pStyle w:val="Department"/>
        <w:tabs>
          <w:tab w:val="left" w:pos="540" w:leader="none"/>
          <w:tab w:val="left" w:pos="900" w:leader="none"/>
        </w:tabs>
        <w:rPr/>
      </w:pPr>
      <w:r>
        <w:rPr/>
        <w:tab/>
        <w:t>(b)</w:t>
        <w:tab/>
        <w:t>use of international arbitration provision</w:t>
      </w:r>
    </w:p>
    <w:p>
      <w:pPr>
        <w:pStyle w:val="Department"/>
        <w:tabs>
          <w:tab w:val="left" w:pos="540" w:leader="none"/>
          <w:tab w:val="left" w:pos="900" w:leader="none"/>
        </w:tabs>
        <w:rPr/>
      </w:pPr>
      <w:r>
        <w:rPr/>
      </w:r>
    </w:p>
    <w:p>
      <w:pPr>
        <w:pStyle w:val="Department"/>
        <w:tabs>
          <w:tab w:val="left" w:pos="540" w:leader="none"/>
          <w:tab w:val="left" w:pos="900" w:leader="none"/>
        </w:tabs>
        <w:rPr/>
      </w:pPr>
      <w:r>
        <w:rPr/>
        <w:t>(3)</w:t>
        <w:tab/>
        <w:t>Change of ownership issues</w:t>
      </w:r>
    </w:p>
    <w:p>
      <w:pPr>
        <w:pStyle w:val="Department"/>
        <w:numPr>
          <w:ilvl w:val="0"/>
          <w:numId w:val="9"/>
        </w:numPr>
        <w:tabs>
          <w:tab w:val="left" w:pos="540" w:leader="none"/>
        </w:tabs>
        <w:rPr/>
      </w:pPr>
      <w:r>
        <w:rPr/>
        <w:t>change of control (partnerships, LLCs)</w:t>
      </w:r>
    </w:p>
    <w:p>
      <w:pPr>
        <w:pStyle w:val="Department"/>
        <w:numPr>
          <w:ilvl w:val="0"/>
          <w:numId w:val="9"/>
        </w:numPr>
        <w:tabs>
          <w:tab w:val="left" w:pos="540" w:leader="none"/>
        </w:tabs>
        <w:rPr/>
      </w:pPr>
      <w:r>
        <w:rPr/>
        <w:t>review of partnership/LLC organizational documents</w:t>
      </w:r>
    </w:p>
    <w:p>
      <w:pPr>
        <w:pStyle w:val="Department"/>
        <w:numPr>
          <w:ilvl w:val="0"/>
          <w:numId w:val="9"/>
        </w:numPr>
        <w:tabs>
          <w:tab w:val="left" w:pos="540" w:leader="none"/>
        </w:tabs>
        <w:rPr/>
      </w:pPr>
      <w:r>
        <w:rPr/>
        <w:t>Enron vs. third party analysis</w:t>
      </w:r>
    </w:p>
    <w:p>
      <w:pPr>
        <w:pStyle w:val="Department"/>
        <w:tabs>
          <w:tab w:val="left" w:pos="540" w:leader="none"/>
          <w:tab w:val="left" w:pos="900" w:leader="none"/>
        </w:tabs>
        <w:rPr/>
      </w:pPr>
      <w:r>
        <w:rPr/>
      </w:r>
    </w:p>
    <w:p>
      <w:pPr>
        <w:pStyle w:val="Department"/>
        <w:numPr>
          <w:ilvl w:val="0"/>
          <w:numId w:val="2"/>
        </w:numPr>
        <w:tabs>
          <w:tab w:val="left" w:pos="900" w:leader="none"/>
        </w:tabs>
        <w:rPr/>
      </w:pPr>
      <w:r>
        <w:rPr/>
        <w:t>Guaranties:</w:t>
      </w:r>
    </w:p>
    <w:p>
      <w:pPr>
        <w:pStyle w:val="Department"/>
        <w:tabs>
          <w:tab w:val="left" w:pos="540" w:leader="none"/>
          <w:tab w:val="left" w:pos="900" w:leader="none"/>
        </w:tabs>
        <w:ind w:start="540" w:end="0"/>
        <w:rPr/>
      </w:pPr>
      <w:r>
        <w:rPr/>
        <w:t>relationship of guarantor to guaranteed party (e.g., guarantor as managing member of LLC or affiliated entity)</w:t>
      </w:r>
    </w:p>
    <w:p>
      <w:pPr>
        <w:pStyle w:val="Department"/>
        <w:tabs>
          <w:tab w:val="left" w:pos="540" w:leader="none"/>
          <w:tab w:val="left" w:pos="900" w:leader="none"/>
        </w:tabs>
        <w:ind w:start="540" w:end="0"/>
        <w:rPr/>
      </w:pPr>
      <w:r>
        <w:rPr/>
      </w:r>
    </w:p>
    <w:p>
      <w:pPr>
        <w:pStyle w:val="Department"/>
        <w:numPr>
          <w:ilvl w:val="0"/>
          <w:numId w:val="2"/>
        </w:numPr>
        <w:tabs>
          <w:tab w:val="left" w:pos="900" w:leader="none"/>
        </w:tabs>
        <w:rPr/>
      </w:pPr>
      <w:r>
        <w:rPr/>
        <w:t>Trade Option Exemption</w:t>
      </w:r>
    </w:p>
    <w:p>
      <w:pPr>
        <w:pStyle w:val="Department"/>
        <w:tabs>
          <w:tab w:val="left" w:pos="540" w:leader="none"/>
          <w:tab w:val="left" w:pos="900" w:leader="none"/>
        </w:tabs>
        <w:ind w:start="540" w:end="0"/>
        <w:rPr/>
      </w:pPr>
      <w:r>
        <w:rPr/>
        <w:t>With respect to financial counterparties (e.g., some banks, hedge funds), individuals or other entities which cannot make the representation but enter into commodity options, should ECT always be the stated offeree?</w:t>
      </w:r>
    </w:p>
    <w:p>
      <w:pPr>
        <w:pStyle w:val="Department"/>
        <w:tabs>
          <w:tab w:val="left" w:pos="540" w:leader="none"/>
          <w:tab w:val="left" w:pos="900" w:leader="none"/>
        </w:tabs>
        <w:ind w:start="540" w:end="0"/>
        <w:rPr/>
      </w:pPr>
      <w:r>
        <w:rPr/>
      </w:r>
    </w:p>
    <w:p>
      <w:pPr>
        <w:pStyle w:val="Department"/>
        <w:tabs>
          <w:tab w:val="left" w:pos="540" w:leader="none"/>
          <w:tab w:val="left" w:pos="900" w:leader="none"/>
        </w:tabs>
        <w:ind w:hanging="540" w:start="540" w:end="0"/>
        <w:rPr/>
      </w:pPr>
      <w:r>
        <w:rPr/>
        <w:t>(6)</w:t>
        <w:tab/>
        <w:t>Eligible Swap Participant</w:t>
      </w:r>
    </w:p>
    <w:p>
      <w:pPr>
        <w:pStyle w:val="Department"/>
        <w:numPr>
          <w:ilvl w:val="0"/>
          <w:numId w:val="3"/>
        </w:numPr>
        <w:tabs>
          <w:tab w:val="left" w:pos="540" w:leader="none"/>
        </w:tabs>
        <w:rPr/>
      </w:pPr>
      <w:r>
        <w:rPr/>
        <w:t>meaning of "not formed for the specific purpose of constituting an eligible swap participant"</w:t>
      </w:r>
    </w:p>
    <w:p>
      <w:pPr>
        <w:pStyle w:val="Department"/>
        <w:numPr>
          <w:ilvl w:val="0"/>
          <w:numId w:val="3"/>
        </w:numPr>
        <w:tabs>
          <w:tab w:val="left" w:pos="540" w:leader="none"/>
        </w:tabs>
        <w:rPr/>
      </w:pPr>
      <w:r>
        <w:rPr/>
        <w:t>extent of due diligence required to make the determination</w:t>
      </w:r>
    </w:p>
    <w:p>
      <w:pPr>
        <w:pStyle w:val="Department"/>
        <w:tabs>
          <w:tab w:val="left" w:pos="540" w:leader="none"/>
          <w:tab w:val="left" w:pos="900" w:leader="none"/>
        </w:tabs>
        <w:rPr/>
      </w:pPr>
      <w:r>
        <w:rPr/>
      </w:r>
    </w:p>
    <w:p>
      <w:pPr>
        <w:pStyle w:val="Department"/>
        <w:tabs>
          <w:tab w:val="left" w:pos="540" w:leader="none"/>
        </w:tabs>
        <w:rPr/>
      </w:pPr>
      <w:r>
        <w:rPr/>
        <w:t>(7)</w:t>
        <w:tab/>
        <w:t>Use of Surety Bonds as collateral and special Surety Bond Provisions</w:t>
      </w:r>
    </w:p>
    <w:p>
      <w:pPr>
        <w:pStyle w:val="Department"/>
        <w:tabs>
          <w:tab w:val="left" w:pos="540" w:leader="none"/>
          <w:tab w:val="left" w:pos="900" w:leader="none"/>
        </w:tabs>
        <w:rPr/>
      </w:pPr>
      <w:r>
        <w:rPr/>
      </w:r>
    </w:p>
    <w:p>
      <w:pPr>
        <w:pStyle w:val="Department"/>
        <w:tabs>
          <w:tab w:val="left" w:pos="540" w:leader="none"/>
          <w:tab w:val="left" w:pos="900" w:leader="none"/>
        </w:tabs>
        <w:rPr/>
      </w:pPr>
      <w:r>
        <w:rPr/>
        <w:t>(8)</w:t>
        <w:tab/>
        <w:t>Letter of Credit Issues</w:t>
      </w:r>
    </w:p>
    <w:p>
      <w:pPr>
        <w:pStyle w:val="Department"/>
        <w:numPr>
          <w:ilvl w:val="0"/>
          <w:numId w:val="5"/>
        </w:numPr>
        <w:tabs>
          <w:tab w:val="left" w:pos="540" w:leader="none"/>
        </w:tabs>
        <w:rPr/>
      </w:pPr>
      <w:r>
        <w:rPr/>
        <w:t>L/C Default</w:t>
      </w:r>
    </w:p>
    <w:p>
      <w:pPr>
        <w:pStyle w:val="Department"/>
        <w:numPr>
          <w:ilvl w:val="0"/>
          <w:numId w:val="5"/>
        </w:numPr>
        <w:tabs>
          <w:tab w:val="left" w:pos="540" w:leader="none"/>
        </w:tabs>
        <w:rPr/>
      </w:pPr>
      <w:r>
        <w:rPr/>
        <w:t>revisions for ISDA, Industrial, Omnibus, ECT Master</w:t>
      </w:r>
    </w:p>
    <w:p>
      <w:pPr>
        <w:pStyle w:val="Department"/>
        <w:tabs>
          <w:tab w:val="left" w:pos="540" w:leader="none"/>
          <w:tab w:val="left" w:pos="900" w:leader="none"/>
        </w:tabs>
        <w:rPr/>
      </w:pPr>
      <w:r>
        <w:rPr/>
      </w:r>
    </w:p>
    <w:p>
      <w:pPr>
        <w:pStyle w:val="Department"/>
        <w:tabs>
          <w:tab w:val="left" w:pos="540" w:leader="none"/>
          <w:tab w:val="left" w:pos="900" w:leader="none"/>
        </w:tabs>
        <w:rPr/>
      </w:pPr>
      <w:r>
        <w:rPr/>
        <w:t>(9)</w:t>
        <w:tab/>
        <w:t>Public Utilities</w:t>
      </w:r>
    </w:p>
    <w:p>
      <w:pPr>
        <w:pStyle w:val="Department"/>
        <w:numPr>
          <w:ilvl w:val="0"/>
          <w:numId w:val="7"/>
        </w:numPr>
        <w:tabs>
          <w:tab w:val="left" w:pos="540" w:leader="none"/>
        </w:tabs>
        <w:rPr/>
      </w:pPr>
      <w:r>
        <w:rPr/>
        <w:t>Canadian utilities – ad hoc review</w:t>
      </w:r>
    </w:p>
    <w:p>
      <w:pPr>
        <w:pStyle w:val="Department"/>
        <w:tabs>
          <w:tab w:val="left" w:pos="540" w:leader="none"/>
          <w:tab w:val="left" w:pos="900" w:leader="none"/>
        </w:tabs>
        <w:rPr/>
      </w:pPr>
      <w:r>
        <w:rPr/>
      </w:r>
    </w:p>
    <w:p>
      <w:pPr>
        <w:pStyle w:val="Department"/>
        <w:tabs>
          <w:tab w:val="left" w:pos="540" w:leader="none"/>
          <w:tab w:val="left" w:pos="900" w:leader="none"/>
        </w:tabs>
        <w:rPr/>
      </w:pPr>
      <w:r>
        <w:rPr/>
        <w:t>(10)</w:t>
        <w:tab/>
        <w:t>Setoff Issues</w:t>
      </w:r>
    </w:p>
    <w:p>
      <w:pPr>
        <w:pStyle w:val="Department"/>
        <w:numPr>
          <w:ilvl w:val="0"/>
          <w:numId w:val="6"/>
        </w:numPr>
        <w:tabs>
          <w:tab w:val="left" w:pos="540" w:leader="none"/>
        </w:tabs>
        <w:rPr/>
      </w:pPr>
      <w:r>
        <w:rPr/>
        <w:t>conform ISDA to Industrial/Omnibus/ECT Master with respect to amounts payable by ECT and its affiliates</w:t>
      </w:r>
    </w:p>
    <w:p>
      <w:pPr>
        <w:pStyle w:val="Department"/>
        <w:numPr>
          <w:ilvl w:val="0"/>
          <w:numId w:val="6"/>
        </w:numPr>
        <w:tabs>
          <w:tab w:val="left" w:pos="540" w:leader="none"/>
        </w:tabs>
        <w:rPr/>
      </w:pPr>
      <w:r>
        <w:rPr/>
        <w:t>Setoff after Event of Default but prior to designation of Early Termination</w:t>
      </w:r>
    </w:p>
    <w:p>
      <w:pPr>
        <w:pStyle w:val="Department"/>
        <w:numPr>
          <w:ilvl w:val="0"/>
          <w:numId w:val="6"/>
        </w:numPr>
        <w:tabs>
          <w:tab w:val="left" w:pos="540" w:leader="none"/>
        </w:tabs>
        <w:rPr/>
      </w:pPr>
      <w:r>
        <w:rPr/>
        <w:t>netting of transactions after Event of Default for nonpayment but prior to designation of Early Termination Event: are unpaid amounts "payable on the same day"?</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/mnt/main-storage/datasets/enron-docs/doc/swap_issues6_99.doc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/mnt/main-storage/datasets/enron-docs/doc/swap_issues6_99.doc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40"/>
        </w:tabs>
        <w:ind w:start="540" w:hanging="540"/>
      </w:pPr>
      <w:rPr/>
    </w:lvl>
  </w:abstractNum>
  <w:abstractNum w:abstractNumId="3">
    <w:lvl w:ilvl="0">
      <w:start w:val="1"/>
      <w:numFmt w:val="lowerLetter"/>
      <w:lvlText w:val="(%1)"/>
      <w:lvlJc w:val="start"/>
      <w:pPr>
        <w:tabs>
          <w:tab w:val="num" w:pos="900"/>
        </w:tabs>
        <w:ind w:start="900" w:hanging="360"/>
      </w:pPr>
      <w:rPr/>
    </w:lvl>
  </w:abstractNum>
  <w:abstractNum w:abstractNumId="4">
    <w:lvl w:ilvl="0">
      <w:start w:val="1"/>
      <w:numFmt w:val="lowerLetter"/>
      <w:lvlText w:val="(%1)"/>
      <w:lvlJc w:val="start"/>
      <w:pPr>
        <w:tabs>
          <w:tab w:val="num" w:pos="900"/>
        </w:tabs>
        <w:ind w:start="900" w:hanging="360"/>
      </w:pPr>
      <w:rPr/>
    </w:lvl>
  </w:abstractNum>
  <w:abstractNum w:abstractNumId="5">
    <w:lvl w:ilvl="0">
      <w:start w:val="1"/>
      <w:numFmt w:val="lowerLetter"/>
      <w:lvlText w:val="(%1)"/>
      <w:lvlJc w:val="start"/>
      <w:pPr>
        <w:tabs>
          <w:tab w:val="num" w:pos="900"/>
        </w:tabs>
        <w:ind w:start="900" w:hanging="360"/>
      </w:pPr>
      <w:rPr/>
    </w:lvl>
  </w:abstractNum>
  <w:abstractNum w:abstractNumId="6">
    <w:lvl w:ilvl="0">
      <w:start w:val="1"/>
      <w:numFmt w:val="lowerLetter"/>
      <w:lvlText w:val="(%1)"/>
      <w:lvlJc w:val="start"/>
      <w:pPr>
        <w:tabs>
          <w:tab w:val="num" w:pos="900"/>
        </w:tabs>
        <w:ind w:start="900" w:hanging="360"/>
      </w:pPr>
      <w:rPr/>
    </w:lvl>
  </w:abstractNum>
  <w:abstractNum w:abstractNumId="7">
    <w:lvl w:ilvl="0">
      <w:start w:val="1"/>
      <w:numFmt w:val="lowerLetter"/>
      <w:lvlText w:val="(%1)"/>
      <w:lvlJc w:val="start"/>
      <w:pPr>
        <w:tabs>
          <w:tab w:val="num" w:pos="900"/>
        </w:tabs>
        <w:ind w:start="900" w:hanging="360"/>
      </w:pPr>
      <w:rPr/>
    </w:lvl>
  </w:abstractNum>
  <w:abstractNum w:abstractNumId="8">
    <w:lvl w:ilvl="0">
      <w:start w:val="1"/>
      <w:numFmt w:val="decimal"/>
      <w:lvlText w:val="(%1)"/>
      <w:lvlJc w:val="start"/>
      <w:pPr>
        <w:tabs>
          <w:tab w:val="num" w:pos="540"/>
        </w:tabs>
        <w:ind w:start="540" w:hanging="540"/>
      </w:pPr>
      <w:rPr/>
    </w:lvl>
  </w:abstractNum>
  <w:abstractNum w:abstractNumId="9">
    <w:lvl w:ilvl="0">
      <w:start w:val="1"/>
      <w:numFmt w:val="lowerLetter"/>
      <w:lvlText w:val="(%1)"/>
      <w:lvlJc w:val="start"/>
      <w:pPr>
        <w:tabs>
          <w:tab w:val="num" w:pos="900"/>
        </w:tabs>
        <w:ind w:start="9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1999-06-14T18:26:00Z</dcterms:created>
  <dc:creator>Jeff Ford</dc:creator>
  <dc:description/>
  <dc:language>en-CA</dc:language>
  <cp:lastModifiedBy>sshackl</cp:lastModifiedBy>
  <cp:lastPrinted>1999-06-14T17:00:00Z</cp:lastPrinted>
  <dcterms:modified xsi:type="dcterms:W3CDTF">1999-06-14T20:05:00Z</dcterms:modified>
  <cp:revision>13</cp:revision>
  <dc:subject/>
  <dc:title>Eron Capital &amp; Trade Resources Memo</dc:title>
</cp:coreProperties>
</file>