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40"/>
        <w:rPr/>
      </w:pPr>
      <w:r>
        <w:rPr/>
        <w:t>QUINN EMANUEL URQUHART OLIVER &amp; HEDGES, LLP</w:t>
      </w:r>
    </w:p>
    <w:p>
      <w:pPr>
        <w:pStyle w:val="Normal"/>
        <w:widowControl/>
        <w:spacing w:lineRule="exact" w:line="240"/>
        <w:rPr/>
      </w:pPr>
      <w:r>
        <w:rPr/>
        <w:t>A. William Urquhart (Bar No. 140996)</w:t>
      </w:r>
    </w:p>
    <w:p>
      <w:pPr>
        <w:pStyle w:val="Normal"/>
        <w:widowControl/>
        <w:spacing w:lineRule="exact" w:line="240"/>
        <w:rPr/>
      </w:pPr>
      <w:r>
        <w:rPr/>
        <w:t>Harry A. Olivar, Jr. (Bar No. 143089)</w:t>
      </w:r>
    </w:p>
    <w:p>
      <w:pPr>
        <w:pStyle w:val="Normal"/>
        <w:widowControl/>
        <w:spacing w:lineRule="exact" w:line="240"/>
        <w:rPr/>
      </w:pPr>
      <w:r>
        <w:rPr/>
        <w:t>Kristen Bird (Bar No. 192863)</w:t>
      </w:r>
    </w:p>
    <w:p>
      <w:pPr>
        <w:pStyle w:val="Normal"/>
        <w:widowControl/>
        <w:spacing w:lineRule="exact" w:line="240"/>
        <w:rPr/>
      </w:pPr>
      <w:r>
        <w:rPr/>
        <w:t>Michael T. Lifrak (Bar No. 210846)</w:t>
      </w:r>
    </w:p>
    <w:p>
      <w:pPr>
        <w:pStyle w:val="Normal"/>
        <w:widowControl/>
        <w:spacing w:lineRule="exact" w:line="240"/>
        <w:rPr/>
      </w:pPr>
      <w:r>
        <w:rPr/>
        <w:t>865 South Figueroa Street, 10th Floor</w:t>
      </w:r>
    </w:p>
    <w:p>
      <w:pPr>
        <w:pStyle w:val="Normal"/>
        <w:widowControl/>
        <w:spacing w:lineRule="exact" w:line="240"/>
        <w:rPr/>
      </w:pPr>
      <w:r>
        <w:rPr/>
        <w:t>Los Angeles, California  90017-2543</w:t>
      </w:r>
    </w:p>
    <w:p>
      <w:pPr>
        <w:pStyle w:val="Normal"/>
        <w:widowControl/>
        <w:spacing w:lineRule="exact" w:line="240"/>
        <w:rPr/>
      </w:pPr>
      <w:r>
        <w:rPr/>
        <w:t>(213) 624-7707 (phone)</w:t>
      </w:r>
    </w:p>
    <w:p>
      <w:pPr>
        <w:pStyle w:val="Normal"/>
        <w:widowControl/>
        <w:spacing w:lineRule="exact" w:line="240"/>
        <w:rPr/>
      </w:pPr>
      <w:r>
        <w:rPr/>
        <w:t>(213) 624-0643 (fax)</w:t>
      </w:r>
    </w:p>
    <w:p>
      <w:pPr>
        <w:pStyle w:val="Normal"/>
        <w:widowControl/>
        <w:spacing w:lineRule="exact" w:line="240"/>
        <w:rPr/>
      </w:pPr>
      <w:r>
        <w:rPr/>
      </w:r>
    </w:p>
    <w:p>
      <w:pPr>
        <w:pStyle w:val="Normal"/>
        <w:widowControl/>
        <w:spacing w:lineRule="exact" w:line="240"/>
        <w:rPr/>
      </w:pPr>
      <w:r>
        <w:rPr/>
        <w:t>BROBECK, PHLEGER &amp; HARRISON, L.L.P.</w:t>
      </w:r>
    </w:p>
    <w:p>
      <w:pPr>
        <w:pStyle w:val="Normal"/>
        <w:widowControl/>
        <w:spacing w:lineRule="exact" w:line="240"/>
        <w:rPr/>
      </w:pPr>
      <w:r>
        <w:rPr/>
        <w:t>Gary S. Fergus (Bar No. 95318)</w:t>
      </w:r>
    </w:p>
    <w:p>
      <w:pPr>
        <w:pStyle w:val="Normal"/>
        <w:widowControl/>
        <w:spacing w:lineRule="exact" w:line="240"/>
        <w:rPr/>
      </w:pPr>
      <w:r>
        <w:rPr/>
        <w:t>Spear Street Tower</w:t>
      </w:r>
    </w:p>
    <w:p>
      <w:pPr>
        <w:pStyle w:val="Normal"/>
        <w:widowControl/>
        <w:spacing w:lineRule="exact" w:line="240"/>
        <w:rPr/>
      </w:pPr>
      <w:r>
        <w:rPr/>
        <w:t>One Market</w:t>
      </w:r>
    </w:p>
    <w:p>
      <w:pPr>
        <w:pStyle w:val="Normal"/>
        <w:widowControl/>
        <w:spacing w:lineRule="exact" w:line="240"/>
        <w:rPr/>
      </w:pPr>
      <w:r>
        <w:rPr/>
        <w:t>San Francisco, California 94105</w:t>
      </w:r>
    </w:p>
    <w:p>
      <w:pPr>
        <w:pStyle w:val="Normal"/>
        <w:widowControl/>
        <w:spacing w:lineRule="exact" w:line="240"/>
        <w:rPr/>
      </w:pPr>
      <w:r>
        <w:rPr/>
        <w:t>(415) 442-0900 (phone)</w:t>
      </w:r>
    </w:p>
    <w:p>
      <w:pPr>
        <w:pStyle w:val="Normal"/>
        <w:widowControl/>
        <w:spacing w:lineRule="exact" w:line="240"/>
        <w:rPr/>
      </w:pPr>
      <w:r>
        <w:rPr/>
        <w:t>(415) 442-1010 (fax)</w:t>
      </w:r>
    </w:p>
    <w:p>
      <w:pPr>
        <w:pStyle w:val="Normal"/>
        <w:widowControl/>
        <w:spacing w:lineRule="exact" w:line="240"/>
        <w:rPr/>
      </w:pPr>
      <w:r>
        <w:rPr/>
      </w:r>
    </w:p>
    <w:p>
      <w:pPr>
        <w:pStyle w:val="Normal"/>
        <w:widowControl/>
        <w:spacing w:lineRule="exact" w:line="240"/>
        <w:rPr/>
      </w:pPr>
      <w:r>
        <w:rPr/>
        <w:t>Attorneys for Plaintiffs</w:t>
      </w:r>
    </w:p>
    <w:p>
      <w:pPr>
        <w:pStyle w:val="Normal"/>
        <w:widowControl/>
        <w:spacing w:lineRule="exact" w:line="240"/>
        <w:rPr/>
      </w:pPr>
      <w:r>
        <w:rPr/>
        <w:t>Enron Power Marketing, Inc. and Enron Corp.</w:t>
      </w:r>
    </w:p>
    <w:p>
      <w:pPr>
        <w:pStyle w:val="Normal"/>
        <w:widowControl/>
        <w:spacing w:lineRule="exact" w:line="240"/>
        <w:rPr/>
      </w:pPr>
      <w:r>
        <w:rPr/>
      </w:r>
    </w:p>
    <w:p>
      <w:pPr>
        <w:pStyle w:val="Normal"/>
        <w:widowControl/>
        <w:spacing w:lineRule="exact" w:line="240"/>
        <w:rPr/>
      </w:pPr>
      <w:r>
        <w:rPr/>
      </w:r>
    </w:p>
    <w:p>
      <w:pPr>
        <w:pStyle w:val="Normal"/>
        <w:widowControl/>
        <w:tabs>
          <w:tab w:val="clear" w:pos="720"/>
          <w:tab w:val="center" w:pos="4680" w:leader="none"/>
        </w:tabs>
        <w:spacing w:lineRule="exact" w:line="240"/>
        <w:rPr/>
      </w:pPr>
      <w:r>
        <w:rPr/>
        <w:tab/>
        <w:t>UNITED STATES DISTRICT COURT</w:t>
      </w:r>
    </w:p>
    <w:p>
      <w:pPr>
        <w:pStyle w:val="Normal"/>
        <w:widowControl/>
        <w:spacing w:lineRule="exact" w:line="240"/>
        <w:rPr/>
      </w:pPr>
      <w:r>
        <w:rPr/>
      </w:r>
    </w:p>
    <w:p>
      <w:pPr>
        <w:pStyle w:val="Normal"/>
        <w:widowControl/>
        <w:tabs>
          <w:tab w:val="clear" w:pos="720"/>
          <w:tab w:val="center" w:pos="4680" w:leader="none"/>
        </w:tabs>
        <w:spacing w:lineRule="exact" w:line="240"/>
        <w:rPr/>
      </w:pPr>
      <w:r>
        <w:rPr/>
        <w:tab/>
        <w:t>CENTRAL DISTRICT OF CALIFORNIA</w:t>
      </w:r>
    </w:p>
    <w:p>
      <w:pPr>
        <w:pStyle w:val="Normal"/>
        <w:widowControl/>
        <w:spacing w:lineRule="exact" w:line="240"/>
        <w:rPr/>
      </w:pPr>
      <w:r>
        <w:rPr/>
      </w:r>
    </w:p>
    <w:p>
      <w:pPr>
        <w:pStyle w:val="Normal"/>
        <w:widowControl/>
        <w:spacing w:lineRule="exact" w:line="240"/>
        <w:rPr/>
      </w:pPr>
      <w:r>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pPr>
            <w:r>
              <w:rPr/>
              <w:t>ENRON POWER MARKETING, INC., a Delaware Corporation, and, ENRON CORP., an Oregon Corporation,</w:t>
            </w:r>
          </w:p>
          <w:p>
            <w:pPr>
              <w:pStyle w:val="Normal"/>
              <w:widowControl/>
              <w:spacing w:lineRule="exact" w:line="240"/>
              <w:rPr/>
            </w:pPr>
            <w:r>
              <w:rPr/>
            </w:r>
          </w:p>
          <w:p>
            <w:pPr>
              <w:pStyle w:val="Normal"/>
              <w:widowControl/>
              <w:spacing w:lineRule="exact" w:line="240"/>
              <w:ind w:firstLine="2160" w:end="0"/>
              <w:rPr/>
            </w:pPr>
            <w:r>
              <w:rPr/>
              <w:t>Plaintiffs,</w:t>
            </w:r>
          </w:p>
          <w:p>
            <w:pPr>
              <w:pStyle w:val="Normal"/>
              <w:widowControl/>
              <w:spacing w:lineRule="exact" w:line="240"/>
              <w:rPr/>
            </w:pPr>
            <w:r>
              <w:rPr/>
            </w:r>
          </w:p>
          <w:p>
            <w:pPr>
              <w:pStyle w:val="Normal"/>
              <w:widowControl/>
              <w:spacing w:lineRule="exact" w:line="240"/>
              <w:ind w:firstLine="720" w:end="0"/>
              <w:rPr/>
            </w:pPr>
            <w:r>
              <w:rPr/>
              <w:t>v.</w:t>
            </w:r>
          </w:p>
          <w:p>
            <w:pPr>
              <w:pStyle w:val="Normal"/>
              <w:widowControl/>
              <w:spacing w:lineRule="exact" w:line="240"/>
              <w:rPr/>
            </w:pPr>
            <w:r>
              <w:rPr/>
            </w:r>
          </w:p>
          <w:p>
            <w:pPr>
              <w:pStyle w:val="Normal"/>
              <w:widowControl/>
              <w:spacing w:lineRule="exact" w:line="240"/>
              <w:rPr/>
            </w:pPr>
            <w:r>
              <w:rPr/>
              <w:t>CALIFORNIA POWER EXCHANGE CORPORATION, a California Corporation,</w:t>
            </w:r>
          </w:p>
          <w:p>
            <w:pPr>
              <w:pStyle w:val="Normal"/>
              <w:widowControl/>
              <w:spacing w:lineRule="exact" w:line="240"/>
              <w:rPr/>
            </w:pPr>
            <w:r>
              <w:rPr/>
            </w:r>
          </w:p>
          <w:p>
            <w:pPr>
              <w:pStyle w:val="Normal"/>
              <w:widowControl/>
              <w:spacing w:lineRule="exact" w:line="240"/>
              <w:rPr/>
            </w:pPr>
            <w:r>
              <w:rPr/>
            </w:r>
          </w:p>
          <w:p>
            <w:pPr>
              <w:pStyle w:val="Normal"/>
              <w:widowControl/>
              <w:spacing w:lineRule="exact" w:line="240"/>
              <w:ind w:firstLine="2160" w:end="0"/>
              <w:rPr/>
            </w:pPr>
            <w:r>
              <w:rPr/>
              <w:t>Defendants.</w:t>
            </w:r>
          </w:p>
          <w:p>
            <w:pPr>
              <w:pStyle w:val="Normal"/>
              <w:widowControl/>
              <w:spacing w:lineRule="exact" w:line="240"/>
              <w:rPr>
                <w:u w:val="single"/>
              </w:rPr>
            </w:pPr>
            <w:r>
              <w:rPr>
                <w:u w:val="single"/>
              </w:rPr>
            </w:r>
          </w:p>
          <w:p>
            <w:pPr>
              <w:pStyle w:val="Normal"/>
              <w:widowControl/>
              <w:spacing w:lineRule="exact" w:line="240"/>
              <w:rPr>
                <w:u w:val="single"/>
              </w:rPr>
            </w:pPr>
            <w:r>
              <w:rPr>
                <w:u w:val="single"/>
              </w:rPr>
            </w:r>
          </w:p>
          <w:p>
            <w:pPr>
              <w:pStyle w:val="Normal"/>
              <w:widowControl/>
              <w:spacing w:lineRule="exact" w:line="240"/>
              <w:rPr>
                <w:u w:val="single"/>
              </w:rPr>
            </w:pPr>
            <w:r>
              <w:rPr>
                <w:u w:val="single"/>
              </w:rPr>
            </w:r>
          </w:p>
          <w:p>
            <w:pPr>
              <w:pStyle w:val="Normal"/>
              <w:widowControl/>
              <w:tabs>
                <w:tab w:val="clear" w:pos="720"/>
                <w:tab w:val="right" w:pos="4860" w:leader="none"/>
              </w:tabs>
              <w:spacing w:lineRule="exact" w:line="240"/>
              <w:rPr>
                <w:u w:val="single"/>
              </w:rPr>
            </w:pPr>
            <w:r>
              <w:rPr>
                <w:u w:val="single"/>
              </w:rPr>
              <w:tab/>
            </w:r>
          </w:p>
        </w:tc>
        <w:tc>
          <w:tcPr>
            <w:tcW w:w="36" w:type="dxa"/>
            <w:tcBorders/>
          </w:tcPr>
          <w:p>
            <w:pPr>
              <w:pStyle w:val="Normal"/>
              <w:snapToGrid w:val="false"/>
              <w:rPr/>
            </w:pPr>
            <w:r>
              <w:rPr/>
            </w:r>
          </w:p>
        </w:tc>
        <w:tc>
          <w:tcPr>
            <w:tcW w:w="144" w:type="dxa"/>
            <w:tcBorders/>
          </w:tcPr>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tc>
        <w:tc>
          <w:tcPr>
            <w:tcW w:w="432" w:type="dxa"/>
            <w:tcBorders/>
          </w:tcPr>
          <w:p>
            <w:pPr>
              <w:pStyle w:val="Normal"/>
              <w:snapToGrid w:val="false"/>
              <w:rPr/>
            </w:pPr>
            <w:r>
              <w:rPr/>
            </w:r>
          </w:p>
        </w:tc>
        <w:tc>
          <w:tcPr>
            <w:tcW w:w="4176" w:type="dxa"/>
            <w:tcBorders/>
          </w:tcPr>
          <w:p>
            <w:pPr>
              <w:pStyle w:val="Normal"/>
              <w:widowControl/>
              <w:spacing w:lineRule="exact" w:line="240"/>
              <w:rPr/>
            </w:pPr>
            <w:r>
              <w:rPr/>
              <w:t>CASE NO. 01-00901 CM (RZx)</w:t>
            </w:r>
          </w:p>
          <w:p>
            <w:pPr>
              <w:pStyle w:val="Normal"/>
              <w:widowControl/>
              <w:spacing w:lineRule="exact" w:line="240"/>
              <w:rPr/>
            </w:pPr>
            <w:r>
              <w:rPr/>
            </w:r>
          </w:p>
          <w:p>
            <w:pPr>
              <w:pStyle w:val="Normal"/>
              <w:widowControl/>
              <w:spacing w:lineRule="exact" w:line="240"/>
              <w:ind w:hanging="1440" w:end="0"/>
              <w:rPr/>
            </w:pPr>
            <w:r>
              <w:rPr/>
            </w:r>
          </w:p>
          <w:p>
            <w:pPr>
              <w:pStyle w:val="Normal"/>
              <w:widowControl/>
              <w:spacing w:lineRule="exact" w:line="240"/>
              <w:rPr/>
            </w:pPr>
            <w:r>
              <w:rPr/>
              <w:t xml:space="preserve">PLAINTIFFS' SUPPLEMENTAL REPLY MEMORANDUM IN SUPPORT OF </w:t>
            </w:r>
            <w:r>
              <w:rPr>
                <w:u w:val="single"/>
              </w:rPr>
              <w:t>EX</w:t>
            </w:r>
            <w:r>
              <w:rPr/>
              <w:t xml:space="preserve"> </w:t>
            </w:r>
            <w:r>
              <w:rPr>
                <w:u w:val="single"/>
              </w:rPr>
              <w:t>PARTE</w:t>
            </w:r>
            <w:r>
              <w:rPr/>
              <w:t xml:space="preserve"> APPLICATION FOR:</w:t>
            </w:r>
          </w:p>
          <w:p>
            <w:pPr>
              <w:pStyle w:val="Normal"/>
              <w:widowControl/>
              <w:spacing w:lineRule="exact" w:line="240"/>
              <w:rPr/>
            </w:pPr>
            <w:r>
              <w:rPr/>
              <w:t>(A) TEMPORARY RESTRAINING ORDER; AND</w:t>
            </w:r>
          </w:p>
          <w:p>
            <w:pPr>
              <w:pStyle w:val="Normal"/>
              <w:widowControl/>
              <w:spacing w:lineRule="exact" w:line="240"/>
              <w:rPr/>
            </w:pPr>
            <w:r>
              <w:rPr/>
              <w:t>(B) ORDER TO SHOW CAUSE RE PRELIMINARY INJUNCTION;</w:t>
            </w:r>
          </w:p>
          <w:p>
            <w:pPr>
              <w:pStyle w:val="Normal"/>
              <w:widowControl/>
              <w:spacing w:lineRule="exact" w:line="240"/>
              <w:rPr/>
            </w:pPr>
            <w:r>
              <w:rPr/>
              <w:t>DECLARATION OF KRISTEN BIRD IN SUPPORT THEREOF</w:t>
            </w:r>
          </w:p>
          <w:p>
            <w:pPr>
              <w:pStyle w:val="Normal"/>
              <w:widowControl/>
              <w:spacing w:lineRule="exact" w:line="240"/>
              <w:ind w:hanging="720" w:end="0"/>
              <w:rPr/>
            </w:pPr>
            <w:r>
              <w:rPr/>
            </w:r>
          </w:p>
          <w:p>
            <w:pPr>
              <w:pStyle w:val="Normal"/>
              <w:widowControl/>
              <w:spacing w:lineRule="exact" w:line="240"/>
              <w:rPr/>
            </w:pPr>
            <w:r>
              <w:rPr/>
              <w:t>Hearing Date:  February 9, 2001</w:t>
            </w:r>
          </w:p>
          <w:p>
            <w:pPr>
              <w:pStyle w:val="Normal"/>
              <w:widowControl/>
              <w:spacing w:lineRule="exact" w:line="240"/>
              <w:rPr/>
            </w:pPr>
            <w:r>
              <w:rPr/>
              <w:t xml:space="preserve">Time:         </w:t>
              <w:tab/>
              <w:t xml:space="preserve">10:30 a.m. </w:t>
            </w:r>
          </w:p>
          <w:p>
            <w:pPr>
              <w:pStyle w:val="Normal"/>
              <w:widowControl/>
              <w:spacing w:lineRule="exact" w:line="240"/>
              <w:rPr/>
            </w:pPr>
            <w:r>
              <w:rPr/>
              <w:t xml:space="preserve">Courtroom:    </w:t>
              <w:tab/>
              <w:t>16</w:t>
            </w:r>
          </w:p>
          <w:p>
            <w:pPr>
              <w:pStyle w:val="Normal"/>
              <w:widowControl/>
              <w:spacing w:lineRule="exact" w:line="240"/>
              <w:rPr/>
            </w:pPr>
            <w:r>
              <w:rPr/>
            </w:r>
          </w:p>
          <w:p>
            <w:pPr>
              <w:pStyle w:val="Normal"/>
              <w:widowControl/>
              <w:spacing w:lineRule="exact" w:line="480"/>
              <w:rPr/>
            </w:pPr>
            <w:r>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numPr>
          <w:ilvl w:val="0"/>
          <w:numId w:val="0"/>
        </w:numPr>
        <w:rPr/>
      </w:pPr>
      <w:r>
        <w:rPr/>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ind w:firstLine="1440" w:end="0"/>
        <w:rPr/>
      </w:pPr>
      <w:r>
        <w:rPr/>
        <w:t xml:space="preserve">Plaintiffs Enron Power Marketing, Inc. ("EPMI") and Enron Corp. (collectively with EPMI, "Plaintiffs" or "Enron") submit this supplemental reply memorandum in support of their Application for a Temporary Restraining Order.  </w:t>
      </w:r>
    </w:p>
    <w:p>
      <w:pPr>
        <w:pStyle w:val="Normal"/>
        <w:widowControl/>
        <w:spacing w:lineRule="exact" w:line="480"/>
        <w:rPr/>
      </w:pPr>
      <w:r>
        <w:rPr/>
      </w:r>
    </w:p>
    <w:p>
      <w:pPr>
        <w:pStyle w:val="Normal"/>
        <w:widowControl/>
        <w:tabs>
          <w:tab w:val="clear" w:pos="720"/>
          <w:tab w:val="left" w:pos="-1440" w:leader="none"/>
        </w:tabs>
        <w:spacing w:lineRule="exact" w:line="480"/>
        <w:ind w:hanging="720" w:start="720" w:end="0"/>
        <w:rPr/>
      </w:pPr>
      <w:r>
        <w:rPr/>
        <w:t>I.</w:t>
        <w:tab/>
      </w:r>
      <w:r>
        <w:rPr>
          <w:u w:val="single"/>
        </w:rPr>
        <w:t>INTRODUCTION</w:t>
      </w:r>
    </w:p>
    <w:p>
      <w:pPr>
        <w:pStyle w:val="Normal"/>
        <w:widowControl/>
        <w:spacing w:lineRule="exact" w:line="480"/>
        <w:ind w:firstLine="1440" w:end="0"/>
        <w:rPr/>
      </w:pPr>
      <w:r>
        <w:rPr/>
      </w:r>
    </w:p>
    <w:p>
      <w:pPr>
        <w:pStyle w:val="Normal"/>
        <w:widowControl/>
        <w:spacing w:lineRule="exact" w:line="480"/>
        <w:ind w:firstLine="1440" w:end="0"/>
        <w:rPr/>
      </w:pPr>
      <w:r>
        <w:rPr/>
        <w:t>In this supplemental filing, Enron addresses the arbitrariness of the planned "charge backs" described by Defendant CalPX in its Opposition.  "Charge backs" are charges to market participants predicated on the failure of other market participants (even solvent participants) to pay.  In its Opposition, CalPX for the first time advances the impending "charge backs" as a basis for CalPX's draws on Enron's collateral generally and refusal to segregate funds from those draws into a third-party escrow account.</w:t>
      </w:r>
      <w:r>
        <w:rPr>
          <w:rStyle w:val="FootnoteCharacters"/>
          <w:rStyle w:val="FootnoteReference"/>
          <w:vertAlign w:val="superscript"/>
        </w:rPr>
        <w:footnoteReference w:id="2"/>
      </w:r>
      <w:r>
        <w:rPr/>
        <w:t xml:space="preserve">  However, the "charge backs" do not lend any support to CalPX's position for a variety of reasons:</w:t>
      </w:r>
    </w:p>
    <w:p>
      <w:pPr>
        <w:pStyle w:val="Normal"/>
        <w:widowControl/>
        <w:spacing w:lineRule="exact" w:line="480"/>
        <w:ind w:firstLine="720" w:start="720" w:end="720"/>
        <w:rPr/>
      </w:pPr>
      <w:r>
        <w:rPr/>
        <w:t>(1)</w:t>
        <w:tab/>
        <w:t>The "charge backs" have been challenged by ten separate CalPX market participants (including EPMI) in an emergency filing today before the Federal Energy Regulatory Commission ("FERC").</w:t>
      </w:r>
      <w:r>
        <w:rPr>
          <w:rStyle w:val="FootnoteCharacters"/>
          <w:rStyle w:val="FootnoteReference"/>
          <w:vertAlign w:val="superscript"/>
        </w:rPr>
        <w:footnoteReference w:id="3"/>
      </w:r>
      <w:r>
        <w:rPr/>
        <w:t xml:space="preserve">  The market participants are likely to prevail for a variety of reasons, including principally those set forth below;</w:t>
      </w:r>
    </w:p>
    <w:p>
      <w:pPr>
        <w:pStyle w:val="Normal"/>
        <w:widowControl/>
        <w:spacing w:lineRule="exact" w:line="480"/>
        <w:ind w:firstLine="720" w:start="720" w:end="720"/>
        <w:rPr/>
      </w:pPr>
      <w:r>
        <w:rPr/>
        <w:t>(2)</w:t>
        <w:tab/>
        <w:t>As set forth in the FERC filing, the "charge backs" threatened by CalPX are patently improper because:</w:t>
      </w:r>
    </w:p>
    <w:p>
      <w:pPr>
        <w:sectPr>
          <w:headerReference w:type="default" r:id="rId4"/>
          <w:footerReference w:type="default" r:id="rId5"/>
          <w:footnotePr>
            <w:numFmt w:val="decimal"/>
          </w:footnotePr>
          <w:type w:val="nextPage"/>
          <w:pgSz w:w="12240" w:h="15840"/>
          <w:pgMar w:left="2160" w:right="720" w:gutter="0" w:header="777" w:top="833" w:footer="576" w:bottom="632"/>
          <w:pgNumType w:fmt="decimal"/>
          <w:formProt w:val="false"/>
          <w:textDirection w:val="lrTb"/>
          <w:docGrid w:type="default" w:linePitch="360" w:charSpace="0"/>
        </w:sectPr>
      </w:pPr>
    </w:p>
    <w:p>
      <w:pPr>
        <w:pStyle w:val="Normal"/>
        <w:widowControl/>
        <w:spacing w:lineRule="exact" w:line="480"/>
        <w:ind w:start="2160" w:end="1440"/>
        <w:rPr/>
      </w:pPr>
      <w:r>
        <w:rPr/>
        <w:t>(a)</w:t>
        <w:tab/>
        <w:t>they are CalPX's panicked response to an unforeseen catastrophe in the California electric power market -- including principally Government seizure of nearly $1 billion in CalPX assets that should have been available to compensate for utilities' defaults and to reduce all market participants' collective burden -- and seek to impose instead hundreds of millions of dollars of losses on solvent market participants in a manner never anticipated, let alone agreed to, by these entities;</w:t>
      </w:r>
    </w:p>
    <w:p>
      <w:pPr>
        <w:pStyle w:val="Normal"/>
        <w:widowControl/>
        <w:spacing w:lineRule="exact" w:line="480"/>
        <w:ind w:start="2160" w:end="1440"/>
        <w:rPr/>
      </w:pPr>
      <w:r>
        <w:rPr/>
        <w:t>(b)</w:t>
        <w:tab/>
        <w:t>the "charge backs" are being applied by CalPX in an unfair "iterative" or ongoing manner that FERC will not permit -- in other words, when some participants refuse to pay "charge backs," further "charge backs" will be assessed against the remaining entities so that the last solvent entity is left bearing the full balance of the defaults;</w:t>
      </w:r>
    </w:p>
    <w:p>
      <w:pPr>
        <w:pStyle w:val="Normal"/>
        <w:widowControl/>
        <w:spacing w:lineRule="exact" w:line="480"/>
        <w:ind w:start="2160" w:end="1440"/>
        <w:rPr/>
      </w:pPr>
      <w:r>
        <w:rPr/>
        <w:t>(c)</w:t>
        <w:tab/>
        <w:t>the "charge backs" improperly cross market boundaries, seeking to hold participants in the Core and CTS Markets responsible for hundreds of millions of dollars of defaults incurred by CalPX in its role as scheduling coordinator for utilities (Southern California Edison ("SCE") and Pacific Gas &amp; Electric ("PG&amp;E")) in the ISO "Real Time" market; and</w:t>
      </w:r>
    </w:p>
    <w:p>
      <w:pPr>
        <w:pStyle w:val="Normal"/>
        <w:widowControl/>
        <w:spacing w:lineRule="exact" w:line="480"/>
        <w:ind w:start="2160" w:end="2160"/>
        <w:rPr/>
      </w:pPr>
      <w:r>
        <w:rPr/>
        <w:t xml:space="preserve">(d) </w:t>
        <w:tab/>
        <w:t>most fundamentally, the "charge backs" are the product of CalPX's own operational failures and inattention to its own collateral and credit-monitoring responsibilities, failure to proceed against SCE and PG&amp;E collateral as required, and failure to satisfy other prerequisites to any invocation of any "charge back" procedure; and</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ind w:start="720" w:end="720"/>
        <w:rPr/>
      </w:pPr>
      <w:r>
        <w:rPr/>
        <w:t>(3)</w:t>
        <w:tab/>
        <w:t>It would be manifestly inequitable to permit the "charge backs" to occur, or to deny relief to Enron on the basis that "charge backs" are threatened, given that the assets seized by the State of California are no longer available to secure the very defaults the "charge backs" seek to address.</w:t>
      </w:r>
    </w:p>
    <w:p>
      <w:pPr>
        <w:pStyle w:val="Normal"/>
        <w:widowControl/>
        <w:spacing w:lineRule="exact" w:line="480"/>
        <w:ind w:firstLine="1440" w:end="0"/>
        <w:rPr/>
      </w:pPr>
      <w:r>
        <w:rPr/>
        <w:t xml:space="preserve">When one cuts through the rhetoric of CalPX's Opposition, and examines the likely result of the FERC proceeding, the threatened "charge backs" do not provide any basis for denial of the equitable relief requested by Enron in its Application.   </w:t>
      </w:r>
    </w:p>
    <w:p>
      <w:pPr>
        <w:pStyle w:val="Normal"/>
        <w:widowControl/>
        <w:spacing w:lineRule="exact" w:line="480"/>
        <w:rPr/>
      </w:pPr>
      <w:r>
        <w:rPr/>
      </w:r>
    </w:p>
    <w:p>
      <w:pPr>
        <w:pStyle w:val="Normal"/>
        <w:widowControl/>
        <w:tabs>
          <w:tab w:val="clear" w:pos="720"/>
          <w:tab w:val="left" w:pos="-1440" w:leader="none"/>
        </w:tabs>
        <w:spacing w:lineRule="exact" w:line="480"/>
        <w:ind w:hanging="720" w:start="720" w:end="0"/>
        <w:rPr/>
      </w:pPr>
      <w:r>
        <w:rPr/>
        <w:t>II.</w:t>
        <w:tab/>
      </w:r>
      <w:r>
        <w:rPr>
          <w:u w:val="single"/>
        </w:rPr>
        <w:t>RELEVANT BACKGROUND</w:t>
      </w:r>
    </w:p>
    <w:p>
      <w:pPr>
        <w:pStyle w:val="Normal"/>
        <w:widowControl/>
        <w:spacing w:lineRule="exact" w:line="480"/>
        <w:rPr/>
      </w:pPr>
      <w:r>
        <w:rPr/>
        <w:t xml:space="preserve">  </w:t>
      </w:r>
    </w:p>
    <w:p>
      <w:pPr>
        <w:pStyle w:val="Normal"/>
        <w:widowControl/>
        <w:spacing w:lineRule="exact" w:line="480"/>
        <w:ind w:firstLine="1440" w:end="0"/>
        <w:rPr/>
      </w:pPr>
      <w:r>
        <w:rPr/>
        <w:t xml:space="preserve">In its Opposition ("Opp."), CalPX warns of impending "charge backs."  CalPX states that Plaintiff EPMI "will soon receive an invoice from CalPX" that will purport to hold EPMI responsible for the defaults of other market participants.  </w:t>
      </w:r>
      <w:r>
        <w:rPr>
          <w:u w:val="single"/>
        </w:rPr>
        <w:t>See</w:t>
      </w:r>
      <w:r>
        <w:rPr/>
        <w:t xml:space="preserve"> Opp. at 2.</w:t>
      </w:r>
      <w:r>
        <w:rPr>
          <w:rStyle w:val="FootnoteCharacters"/>
          <w:rStyle w:val="FootnoteReference"/>
          <w:vertAlign w:val="superscript"/>
        </w:rPr>
        <w:footnoteReference w:id="4"/>
      </w:r>
      <w:r>
        <w:rPr/>
        <w:t xml:space="preserve">  CalPX contends that, by distributing "charge backs," it can appropriately hold EPMI "proportionally liable . . . to pay debts of other participants."  Opp. at 9.  CalPX fails to inform the Court, however, of the true nature of the "charge backs" it seeks to assess.  In reality, the "charge backs" improperly seek to recoup from solvent market participants, like Enron, catastrophic losses of hundreds of millions of dollars resulting from the defaults of SCE and PG&amp;E.  To make matters worse, a significant portion of the "charge backs" will likely be predicated on the failure to pay by other solvent entities.</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ind w:firstLine="1440" w:end="0"/>
        <w:rPr/>
      </w:pPr>
      <w:r>
        <w:rPr/>
        <w:t>Defaults of the magnitude of those registered by SCE and PG&amp;E, as set forth in the attached FERC filing, were never intended to be addressed by the charge-back procedure.  This is particularly true given that the core of the problem results from an unprecedented Government seizure of SCE and PG&amp;E contracts that -- under CalPX's own rules -- should be liquidated (and in fact were in the process of being liquidated when they were seized) to cover most or all of SCE's and PG&amp;E's defaults.  The unfairness of seeking to hold solvent entities like Enron accountable for the Government's actions is compounded by the way the "charge backs" are being applied by CalPX.  Specifically, CalPX intends to continue to draw from all available sources until the "last man standing" is left responsible for the full balance.  And, these draw-downs will be made without regard to the participant's respective level of market participation.</w:t>
      </w:r>
    </w:p>
    <w:p>
      <w:pPr>
        <w:pStyle w:val="Normal"/>
        <w:widowControl/>
        <w:spacing w:lineRule="exact" w:line="480"/>
        <w:ind w:firstLine="1440" w:end="0"/>
        <w:rPr/>
      </w:pPr>
      <w:r>
        <w:rPr/>
        <w:t>When one adds to this the facts that (1) CalPX is seeking improperly to apply defaults by participants in one market (the ISO "Real Time" market) to participants in other markets (the Core and CTS Markets); and (2) CalPX has not even satisfied the conditions precedent for "charge backs" set forth in its own PX Tariff and CTS Market Information Guide, it is very likely FERC will rule in favor of the market participants.</w:t>
      </w:r>
    </w:p>
    <w:p>
      <w:pPr>
        <w:pStyle w:val="Normal"/>
        <w:widowControl/>
        <w:spacing w:lineRule="exact" w:line="480"/>
        <w:ind w:firstLine="1440" w:end="0"/>
        <w:rPr/>
      </w:pPr>
      <w:r>
        <w:rPr/>
        <w:t xml:space="preserve">An understanding of the background that has led to the current crisis, and "charge back" response, is important for assessment of the issues on this Application.  The relevant background begins with CalPX's own failure to monitor its market participants, and favored treatment of the utilities: </w:t>
      </w:r>
    </w:p>
    <w:p>
      <w:pPr>
        <w:pStyle w:val="Normal"/>
        <w:widowControl/>
        <w:spacing w:lineRule="exact" w:line="480"/>
        <w:rPr/>
      </w:pPr>
      <w:r>
        <w:rPr/>
      </w:r>
    </w:p>
    <w:p>
      <w:pPr>
        <w:pStyle w:val="Normal"/>
        <w:widowControl/>
        <w:spacing w:lineRule="exact" w:line="480"/>
        <w:ind w:firstLine="720" w:end="0"/>
        <w:rPr/>
      </w:pPr>
      <w:r>
        <w:rPr/>
        <w:t>A.</w:t>
        <w:tab/>
      </w:r>
      <w:r>
        <w:rPr>
          <w:u w:val="single"/>
        </w:rPr>
        <w:t>CalPX Fails to Monitor SCE and PG&amp;E Collateral</w:t>
      </w:r>
    </w:p>
    <w:p>
      <w:pPr>
        <w:pStyle w:val="Normal"/>
        <w:widowControl/>
        <w:spacing w:lineRule="exact" w:line="480"/>
        <w:rPr/>
      </w:pPr>
      <w:r>
        <w:rPr/>
      </w:r>
    </w:p>
    <w:p>
      <w:pPr>
        <w:pStyle w:val="Normal"/>
        <w:widowControl/>
        <w:spacing w:lineRule="exact" w:line="480"/>
        <w:ind w:firstLine="1440" w:end="0"/>
        <w:rPr/>
      </w:pPr>
      <w:r>
        <w:rPr/>
        <w:t xml:space="preserve">Under the PX Tariff and Rate Schedule, CalPX had an ongoing, contractual duty to assess the creditworthiness of participants in its markets.  Further, CalPX was obligated (1) to obtain adequate security from </w:t>
      </w:r>
      <w:r>
        <w:rPr>
          <w:u w:val="single"/>
        </w:rPr>
        <w:t>all</w:t>
      </w:r>
      <w:r>
        <w:rPr/>
        <w:t xml:space="preserve"> participants before allowing them to trade, (2) to monitor the financial situation and solvency of all participants, and (3) to act to obtain additional security when it becomes necessary.  </w:t>
      </w:r>
      <w:r>
        <w:rPr>
          <w:u w:val="single"/>
        </w:rPr>
        <w:t>See</w:t>
      </w:r>
      <w:r>
        <w:rPr/>
        <w:t xml:space="preserve"> PX Tariff, Bird Decl. Ex. B, Schedule 2, §§ 1.1-2.5; Rate Schedule, Bird Decl. Ex. C, at 3.</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ind w:firstLine="1440" w:end="0"/>
        <w:rPr/>
      </w:pPr>
      <w:r>
        <w:rPr/>
        <w:t xml:space="preserve">Unfortunately, CalPX did not fulfill these obligations.  Notwithstanding clear and public warnings of insolvency over a period stretching into many months, </w:t>
      </w:r>
      <w:r>
        <w:rPr>
          <w:u w:val="single"/>
        </w:rPr>
        <w:t>see</w:t>
      </w:r>
      <w:r>
        <w:rPr/>
        <w:t xml:space="preserve"> </w:t>
      </w:r>
      <w:r>
        <w:rPr>
          <w:i/>
        </w:rPr>
        <w:t>California  Utilities' Losses on Electricity Pose Risk of Technical Insolvency in '01</w:t>
      </w:r>
      <w:r>
        <w:rPr/>
        <w:t xml:space="preserve">, Wall St. J., Sept. 27, 2000, at A3; </w:t>
      </w:r>
      <w:r>
        <w:rPr>
          <w:i/>
        </w:rPr>
        <w:t>State's Utilities Could Be in Hot Water</w:t>
      </w:r>
      <w:r>
        <w:rPr/>
        <w:t xml:space="preserve">, L.A. Times, Sept. 22, 2000, at A1 (included with other articles as Bird Decl. Ex. E), CalPX did not require either Southern California Edison Company (“SCE”) or Pacific Gas and Electric Company (“PG&amp;E”) (two of the largest participants in the CalPX markets) to post sufficient collateral, and failed to monitor the credit situation or solvency of SCE and PG&amp;E.  By its own estimate, SCE has now defaulted on $743 million of payments to CalPX and qualifying facilities.  </w:t>
      </w:r>
      <w:r>
        <w:rPr>
          <w:u w:val="single"/>
        </w:rPr>
        <w:t>See</w:t>
      </w:r>
      <w:r>
        <w:rPr/>
        <w:t xml:space="preserve"> Bird Decl. Ex. F.  On February 1, 2001, PG&amp;E defaulted on some $611 million of obligations for its purchases through the California Independent Systems Operator (“ISO”), for which purchases CalPX acts as Scheduling Coordinator.  These huge defaults are a direct result of CalPX's decision to allow both SCE and PG&amp;E to continue with massive trading on unlimited unsecured lines of credit.  Further, CalPX did not require SCE and PG&amp;E to post any collateral, and did not suspend their trading activity.  To the contrary, in the face of falling credit ratings of SCE and PG&amp;E, the CalPX Board of Directors held an emergency meeting purporting to </w:t>
      </w:r>
      <w:r>
        <w:rPr>
          <w:i/>
        </w:rPr>
        <w:t>amend</w:t>
      </w:r>
      <w:r>
        <w:rPr/>
        <w:t xml:space="preserve"> the PX Tariff to lower the credit rating requirements for these two utilities.  </w:t>
      </w:r>
      <w:r>
        <w:rPr>
          <w:u w:val="single"/>
        </w:rPr>
        <w:t>See</w:t>
      </w:r>
      <w:r>
        <w:rPr/>
        <w:t xml:space="preserve"> Bird Decl. Ex. G, at 2. </w:t>
      </w:r>
    </w:p>
    <w:p>
      <w:pPr>
        <w:pStyle w:val="Normal"/>
        <w:widowControl/>
        <w:spacing w:lineRule="exact" w:line="480"/>
        <w:rPr/>
      </w:pPr>
      <w:r>
        <w:rPr/>
      </w:r>
    </w:p>
    <w:p>
      <w:pPr>
        <w:pStyle w:val="Normal"/>
        <w:widowControl/>
        <w:spacing w:lineRule="exact" w:line="480"/>
        <w:ind w:firstLine="720" w:end="0"/>
        <w:rPr/>
      </w:pPr>
      <w:r>
        <w:rPr/>
        <w:t>B.</w:t>
        <w:tab/>
      </w:r>
      <w:r>
        <w:rPr>
          <w:u w:val="single"/>
        </w:rPr>
        <w:t>CalPX Fails to Move Against SCE and PG&amp;E Collateral</w:t>
      </w:r>
    </w:p>
    <w:p>
      <w:pPr>
        <w:pStyle w:val="Normal"/>
        <w:widowControl/>
        <w:spacing w:lineRule="exact" w:line="480"/>
        <w:rPr/>
      </w:pPr>
      <w:r>
        <w:rPr/>
      </w:r>
    </w:p>
    <w:p>
      <w:pPr>
        <w:pStyle w:val="Normal"/>
        <w:widowControl/>
        <w:spacing w:lineRule="exact" w:line="480"/>
        <w:ind w:firstLine="1440" w:end="0"/>
        <w:rPr/>
      </w:pPr>
      <w:r>
        <w:rPr/>
        <w:t xml:space="preserve">Further, after the defaults of SCE and PG&amp;E, CalPX gave these utilities preferential treatment and did not move appropriately against their collateral.  In the event of default by any participant of amounts owing to CalPX in the Core Market, for example, CalPX was required to follow a prescribed set of procedures.  First, CalPX was to proceed against the security of the defaulting participant.  Second, CalPX was to proceed against a pool performance bond.  Only then could CalPX proceed to issue assessments (or “charge back” notices) to the other current participants in the market, based on their pro rata share of recent activity.  </w:t>
      </w:r>
      <w:r>
        <w:rPr>
          <w:u w:val="single"/>
        </w:rPr>
        <w:t>See</w:t>
      </w:r>
      <w:r>
        <w:rPr/>
        <w:t xml:space="preserve"> PX Tariff, Bird Decl. Ex. B, § 5.1; </w:t>
      </w:r>
      <w:r>
        <w:rPr>
          <w:u w:val="single"/>
        </w:rPr>
        <w:t>see also</w:t>
      </w:r>
      <w:r>
        <w:rPr/>
        <w:t xml:space="preserve"> CTS Information Guide, Bird Decl. Ex. D, § 3.6, at 42-44.</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ind w:firstLine="1440" w:end="0"/>
        <w:rPr/>
      </w:pPr>
      <w:r>
        <w:rPr/>
        <w:t>When the inevitable, massive utility defaults in CalPX markets began, however, CalPX did not follow these rules.  Upon the defaults of SCE and PG&amp;E, CalPX violated its obligations to the non</w:t>
        <w:noBreakHyphen/>
        <w:t>defaulting participants by failing to follow the procedures set forth in the PX Tariff and Rate Schedule.  First, it did not immediately liquidate approximately $650 million worth of Block</w:t>
        <w:noBreakHyphen/>
        <w:t>Forward Market contracts held by SCE.  Nor did it liquidate PG&amp;E’s Block</w:t>
        <w:noBreakHyphen/>
        <w:t xml:space="preserve">Forward Market contracts, estimated by CalPX to be worth $347 million.  While CalPX delayed, these contracts became tied up in court proceedings, became subject to a restraining order in Los Angeles County Superior Court, </w:t>
      </w:r>
      <w:r>
        <w:rPr>
          <w:u w:val="single"/>
        </w:rPr>
        <w:t>see</w:t>
      </w:r>
      <w:r>
        <w:rPr/>
        <w:t xml:space="preserve"> Bird Decl. Ex. H.  Ultimately they were seized by the State of California, under the Governor's emergency powers.  Thus, roughly $1 billion which should have been available to pay for these massive defaults was gone.</w:t>
      </w:r>
    </w:p>
    <w:p>
      <w:pPr>
        <w:pStyle w:val="Normal"/>
        <w:widowControl/>
        <w:spacing w:lineRule="exact" w:line="480"/>
        <w:ind w:firstLine="1440" w:end="0"/>
        <w:rPr/>
      </w:pPr>
      <w:r>
        <w:rPr/>
        <w:t xml:space="preserve">Further, both PG&amp;E and SCE had executed performance bonds.  The CalPX failed to draw on the pool performance bond.  This is evidenced most starkly by CalPX's Opposition, which claims that the relevant bonds are still in effect as security for the defunct Core and CTS Markets (and that Plaintiffs still have an obligation to sign onto them).  </w:t>
      </w:r>
      <w:r>
        <w:rPr>
          <w:u w:val="single"/>
        </w:rPr>
        <w:t>See</w:t>
      </w:r>
      <w:r>
        <w:rPr/>
        <w:t xml:space="preserve"> Opp. at 2-3, 7-8. </w:t>
      </w:r>
    </w:p>
    <w:p>
      <w:pPr>
        <w:pStyle w:val="Normal"/>
        <w:widowControl/>
        <w:spacing w:lineRule="exact" w:line="480"/>
        <w:ind w:firstLine="1440" w:end="0"/>
        <w:rPr/>
      </w:pPr>
      <w:r>
        <w:rPr/>
        <w:t xml:space="preserve">Instead of satisfying these prerequisites, CalPX has moved straight to "charge backs" -- the last option it is supposed to pursue.  </w:t>
      </w:r>
      <w:r>
        <w:rPr>
          <w:u w:val="single"/>
        </w:rPr>
        <w:t>See, e.g.</w:t>
      </w:r>
      <w:r>
        <w:rPr/>
        <w:t>, PX Tariff, Bird Decl. Ex. B, Schedule 2, § 5.1; CTS Information Guide, Bird Decl. Ex. D, § 3.6.7, at 44.  If CalPX had promptly followed its own rules and liquidated the SCE and PG&amp;E positions, or if the State had not seized the contracts, these charge backs would have been unnecessary or, at the very least, would have been much smaller.</w:t>
      </w:r>
    </w:p>
    <w:p>
      <w:pPr>
        <w:pStyle w:val="Normal"/>
        <w:widowControl/>
        <w:spacing w:lineRule="exact" w:line="480"/>
        <w:rPr/>
      </w:pPr>
      <w:r>
        <w:rPr/>
      </w:r>
    </w:p>
    <w:p>
      <w:pPr>
        <w:pStyle w:val="Normal"/>
        <w:widowControl/>
        <w:spacing w:lineRule="exact" w:line="480"/>
        <w:ind w:firstLine="720" w:end="0"/>
        <w:rPr/>
      </w:pPr>
      <w:r>
        <w:rPr/>
        <w:t>C.</w:t>
        <w:tab/>
      </w:r>
      <w:r>
        <w:rPr>
          <w:u w:val="single"/>
        </w:rPr>
        <w:t>CalPX Winds-Up and Ceases to Operate the Relevant Markets</w:t>
      </w:r>
    </w:p>
    <w:p>
      <w:pPr>
        <w:pStyle w:val="Normal"/>
        <w:widowControl/>
        <w:spacing w:lineRule="exact" w:line="480"/>
        <w:rPr/>
      </w:pPr>
      <w:r>
        <w:rPr/>
      </w:r>
    </w:p>
    <w:p>
      <w:pPr>
        <w:pStyle w:val="Normal"/>
        <w:widowControl/>
        <w:spacing w:lineRule="exact" w:line="480"/>
        <w:ind w:firstLine="1440" w:end="0"/>
        <w:rPr/>
      </w:pPr>
      <w:r>
        <w:rPr/>
        <w:t xml:space="preserve">There can be no doubt that the "charge backs" CalPX has said it will issue bear no relation to ongoing market obligations.  In fact, the relevant markets are defunct, and operations have ceased.  In a January 19, 2001 Press Release, CalPX "announced immediate steps to downsize its operations and wind-up the affairs of the corporation."  Bird Decl. Ex. I.  CalPX announced it would be laying off its employees and would "begin the orderly transition out of this market."  </w:t>
      </w:r>
      <w:r>
        <w:rPr>
          <w:u w:val="single"/>
        </w:rPr>
        <w:t>Id.</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ind w:firstLine="1440" w:end="0"/>
        <w:rPr/>
      </w:pPr>
      <w:r>
        <w:rPr/>
        <w:t xml:space="preserve">On January 29, 2001, CalPX announced to all market participants that it would suspend operations in the Day-Ahead and Day-Of Markets, effectively ending Core Market operations.  </w:t>
      </w:r>
      <w:r>
        <w:rPr>
          <w:u w:val="single"/>
        </w:rPr>
        <w:t>See</w:t>
      </w:r>
      <w:r>
        <w:rPr/>
        <w:t xml:space="preserve"> Bird Decl. Ex. J.  On February 1, 2001, an Ohio court restrained CalPX from attempting to draw on a market participant's letter of credit "because CalPX is in the process of liquidating its business."  Bird Decl. Ex. K.  On February 5, 2001, after the State seizure of block-forward contracts discussed below, CalPX informed Plaintiffs by e-mail that the State was the new counterparty in the CTS Market, and that CalPX would no longer be scheduling the State-seized contracts.  </w:t>
      </w:r>
      <w:r>
        <w:rPr>
          <w:u w:val="single"/>
        </w:rPr>
        <w:t>See</w:t>
      </w:r>
      <w:r>
        <w:rPr/>
        <w:t xml:space="preserve"> Bird Decl. Ex. L.</w:t>
      </w:r>
    </w:p>
    <w:p>
      <w:pPr>
        <w:pStyle w:val="Normal"/>
        <w:widowControl/>
        <w:spacing w:lineRule="exact" w:line="480"/>
        <w:rPr/>
      </w:pPr>
      <w:r>
        <w:rPr/>
      </w:r>
    </w:p>
    <w:p>
      <w:pPr>
        <w:pStyle w:val="Normal"/>
        <w:widowControl/>
        <w:spacing w:lineRule="exact" w:line="480"/>
        <w:ind w:firstLine="720" w:end="0"/>
        <w:rPr/>
      </w:pPr>
      <w:r>
        <w:rPr/>
        <w:t>D.</w:t>
        <w:tab/>
      </w:r>
      <w:r>
        <w:rPr>
          <w:u w:val="single"/>
        </w:rPr>
        <w:t>The State's Seizure of SCE's and PG&amp;E's Contracts</w:t>
      </w:r>
    </w:p>
    <w:p>
      <w:pPr>
        <w:pStyle w:val="Normal"/>
        <w:widowControl/>
        <w:spacing w:lineRule="exact" w:line="480"/>
        <w:rPr/>
      </w:pPr>
      <w:r>
        <w:rPr/>
      </w:r>
    </w:p>
    <w:p>
      <w:pPr>
        <w:pStyle w:val="Normal"/>
        <w:widowControl/>
        <w:spacing w:lineRule="exact" w:line="480"/>
        <w:ind w:firstLine="1440" w:end="0"/>
        <w:rPr/>
      </w:pPr>
      <w:r>
        <w:rPr/>
        <w:t xml:space="preserve">On February 2, 2001, the Superior Court lifted the restraining order prohibiting CalPX from liquidating SCE's and PG&amp;E's CTS Market contracts.  </w:t>
      </w:r>
      <w:r>
        <w:rPr>
          <w:u w:val="single"/>
        </w:rPr>
        <w:t>See</w:t>
      </w:r>
      <w:r>
        <w:rPr/>
        <w:t xml:space="preserve"> Hearing Transcript, Bird Decl. Ex. M, at 14.  However, by Executive Orders dated January 31, 2001 (and published February 2, 2001), the State of California seized the SCE and PG&amp;E forward contracts that CalPX was seeking to liquidate at auction.  </w:t>
      </w:r>
      <w:r>
        <w:rPr>
          <w:u w:val="single"/>
        </w:rPr>
        <w:t>See</w:t>
      </w:r>
      <w:r>
        <w:rPr/>
        <w:t xml:space="preserve"> Bird Decl. Exs. N &amp; O.  The State issued the seizure Orders "in furtherance of [a] Proclamation of a State of Emergency."  </w:t>
      </w:r>
      <w:r>
        <w:rPr>
          <w:u w:val="single"/>
        </w:rPr>
        <w:t>Id.</w:t>
      </w:r>
      <w:r>
        <w:rPr/>
        <w:t xml:space="preserve">  The effect of the seizure Orders was to deprive CalPX of assets that CalPX has estimated are worth nearly $1 billion, and the State has estimated are worth several hundreds of millions of dollars less.  </w:t>
      </w:r>
      <w:r>
        <w:rPr>
          <w:u w:val="single"/>
        </w:rPr>
        <w:t>See</w:t>
      </w:r>
      <w:r>
        <w:rPr/>
        <w:t xml:space="preserve"> </w:t>
      </w:r>
      <w:r>
        <w:rPr>
          <w:u w:val="single"/>
        </w:rPr>
        <w:t>Calif. Gov. Seizes More Contracts</w:t>
      </w:r>
      <w:r>
        <w:rPr/>
        <w:t xml:space="preserve">, CBS Marketwatch, Bird Decl. Ex. P (CalPX demands $651 million for SCE contracts alone, whereas State estimates value of SCE contracts "'in the neighborhood of $215 million'").  In a press release, the State has announced that, if lawyers do not agree on the value of the contracts, "the case will go to the courts."  </w:t>
      </w:r>
      <w:r>
        <w:rPr>
          <w:u w:val="single"/>
        </w:rPr>
        <w:t>See</w:t>
      </w:r>
      <w:r>
        <w:rPr/>
        <w:t xml:space="preserve"> Bird Decl. Ex. P.</w:t>
      </w:r>
    </w:p>
    <w:p>
      <w:pPr>
        <w:pStyle w:val="Normal"/>
        <w:widowControl/>
        <w:spacing w:lineRule="exact" w:line="480"/>
        <w:ind w:firstLine="1440" w:end="0"/>
        <w:rPr/>
      </w:pPr>
      <w:r>
        <w:rPr/>
        <w:t xml:space="preserve">In the meantime, CalPX seeks to hold Plaintiffs and other solvent market participants responsible for the hundreds of millions of dollars in SCE and PG&amp;E defaults left unsecured as a result of the State's seizure.  Notwithstanding the extraordinary circumstances surrounding the State's seizure of all SCE and PG&amp;E security, CalPX now seeks through its "charge backs" to hold solvent market participants responsible for monies owed by SCE and PG&amp;E, </w:t>
      </w:r>
      <w:r>
        <w:rPr>
          <w:u w:val="single"/>
        </w:rPr>
        <w:t>see</w:t>
      </w:r>
      <w:r>
        <w:rPr/>
        <w:t xml:space="preserve"> Opp. at 2, 9.  CalPX seeks to do so through unfair and unauthorized charges amounting to hundreds of millions of dollars to cover defaults that would have been secured if CalPX had acted as was required, and if the Government had not seized the contracts CalPX was attempting to liquidate.</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ind w:hanging="720" w:start="720" w:end="0"/>
        <w:rPr/>
      </w:pPr>
      <w:r>
        <w:rPr/>
        <w:t>III.</w:t>
        <w:tab/>
      </w:r>
      <w:r>
        <w:rPr>
          <w:u w:val="single"/>
        </w:rPr>
        <w:t xml:space="preserve">FERC IS LIKELY TO CONCLUDE THAT THE "CHARGE BACKS" BEING </w:t>
      </w:r>
      <w:r>
        <w:rPr/>
        <w:tab/>
      </w:r>
      <w:r>
        <w:rPr>
          <w:u w:val="single"/>
        </w:rPr>
        <w:t>APPLIED BY CALPX ARE IMPROPER.</w:t>
      </w:r>
    </w:p>
    <w:p>
      <w:pPr>
        <w:pStyle w:val="Normal"/>
        <w:widowControl/>
        <w:spacing w:lineRule="exact" w:line="480"/>
        <w:rPr/>
      </w:pPr>
      <w:r>
        <w:rPr/>
      </w:r>
    </w:p>
    <w:p>
      <w:pPr>
        <w:pStyle w:val="Normal"/>
        <w:widowControl/>
        <w:spacing w:lineRule="exact" w:line="480"/>
        <w:ind w:firstLine="1440" w:end="0"/>
        <w:rPr/>
      </w:pPr>
      <w:r>
        <w:rPr/>
        <w:t xml:space="preserve">As noted above, EPMI and nine other market participants have filed an emergency complaint before FERC to challenge the propriety of CalPX's charge-backs.  </w:t>
      </w:r>
      <w:r>
        <w:rPr>
          <w:u w:val="single"/>
        </w:rPr>
        <w:t>See</w:t>
      </w:r>
      <w:r>
        <w:rPr/>
        <w:t xml:space="preserve"> Bird Decl. Ex. A.  The FERC complaint, which was filed earlier today, names CalPX as the respondent, and seeks FERC's determination that CalPX is improperly applying Schedule 2, Section 5.3 of the PX Tariff -- the very same sections of the PX Tariff CalPX relies on -- in assessing "charge backs" against market participants such as EPMI.  The complaint requests that FERC proceed on an expedited basis, requesting that an order be issued by February 14, 2001 prohibiting CalPX from recovering "charge backs" from the ten market participants.</w:t>
      </w:r>
    </w:p>
    <w:p>
      <w:pPr>
        <w:pStyle w:val="Normal"/>
        <w:widowControl/>
        <w:spacing w:lineRule="exact" w:line="480"/>
        <w:ind w:firstLine="720" w:end="0"/>
        <w:rPr/>
      </w:pPr>
      <w:r>
        <w:rPr/>
        <w:t xml:space="preserve">  </w:t>
      </w:r>
      <w:r>
        <w:rPr/>
        <w:tab/>
        <w:t xml:space="preserve">There is a substantial likelihood that the market participants will succeed in their expedited proceeding before FERC, and that CalPX's "charge backs" will be found to be inappropriate.  First, neither FERC nor anyone else contemplated that the "charge back" provisions would be employed in some sort of disaster-recovery scenario to saddle solvent market participants with hundreds of millions of dollars in utility defaults.  Second, there is no basis for the iterative, "last man standing" approach employed by CalPX, which seeks to hold the most solvent entity finally responsible for the full balance of the defaults of everyone else, even solvent entities who choose not to pay.  Third, CalPX cannot appropriately transfer defaults from payment obligations arising from its scheduling coordinator role in one market (the ISO Real-Time Imbalance Market) to participants in separate and distinct other markets it operates.  Finally, CalPX has not satisfied the basic prerequisites that it committed to FERC it would satisfy before initiating any sort of "charge back" plan.  For any, or all, of these reasons, FERC is likely to find that CalPX's "charge backs" are improper. </w:t>
        <w:tab/>
      </w:r>
    </w:p>
    <w:p>
      <w:pPr>
        <w:pStyle w:val="Normal"/>
        <w:widowControl/>
        <w:spacing w:lineRule="exact" w:line="480"/>
        <w:rPr/>
      </w:pPr>
      <w:r>
        <w:rPr/>
      </w:r>
    </w:p>
    <w:p>
      <w:pPr>
        <w:pStyle w:val="Normal"/>
        <w:widowControl/>
        <w:spacing w:lineRule="exact" w:line="480"/>
        <w:rPr/>
      </w:pPr>
      <w:r>
        <w:rPr/>
      </w:r>
    </w:p>
    <w:p>
      <w:pPr>
        <w:pStyle w:val="Normal"/>
        <w:widowControl/>
        <w:spacing w:lineRule="exact" w:line="480"/>
        <w:rPr/>
      </w:pPr>
      <w:r>
        <w:rPr/>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ind w:hanging="720" w:start="1440" w:end="0"/>
        <w:rPr/>
      </w:pPr>
      <w:r>
        <w:rPr/>
        <w:t>A.</w:t>
        <w:tab/>
      </w:r>
      <w:r>
        <w:rPr>
          <w:u w:val="single"/>
        </w:rPr>
        <w:t>The "Charge Backs" CalPX Seeks to Impose Are Unjust and Unreasonable, and Were Not Reasonably Anticipated by the Market Participants or by FERC.</w:t>
      </w:r>
    </w:p>
    <w:p>
      <w:pPr>
        <w:pStyle w:val="Normal"/>
        <w:widowControl/>
        <w:spacing w:lineRule="exact" w:line="480"/>
        <w:rPr>
          <w:u w:val="single"/>
        </w:rPr>
      </w:pPr>
      <w:r>
        <w:rPr>
          <w:u w:val="single"/>
        </w:rPr>
      </w:r>
    </w:p>
    <w:p>
      <w:pPr>
        <w:pStyle w:val="Normal"/>
        <w:widowControl/>
        <w:spacing w:lineRule="exact" w:line="480"/>
        <w:ind w:firstLine="1440" w:end="0"/>
        <w:rPr/>
      </w:pPr>
      <w:r>
        <w:rPr/>
        <w:t xml:space="preserve">As set forth in Count 1 of the FERC filing, CalPX is currently seeking to apply the "charge back" provisions of the PX Tariff to a situation totally contrary to that which FERC must have envisioned.  </w:t>
      </w:r>
      <w:r>
        <w:rPr>
          <w:u w:val="single"/>
        </w:rPr>
        <w:t>See</w:t>
      </w:r>
      <w:r>
        <w:rPr/>
        <w:t xml:space="preserve"> FERC Complaint, Bird Decl. Ex. A, Count 1.  When FERC approved the CalPX tariff containing the "charge back" provision, FERC anticipated that it would be used principally to secure the delivery of energy into the CalPX market -- not to recoup staggering defaults by CalPX's utility buyers.  </w:t>
      </w:r>
      <w:r>
        <w:rPr>
          <w:u w:val="single"/>
        </w:rPr>
        <w:t>See</w:t>
      </w:r>
      <w:r>
        <w:rPr/>
        <w:t xml:space="preserve"> California Power Exchange Corp., 92 FERC ¶ 61,096 (2000).   Further, no one could have contemplated that defaults of such magnitude would persist, largely uncollateralized, because the State of California had moved in to seize the applicable collateral.   Rather than being invoked sparingly to ensure the delivery of energy, as FERC must have contemplated, the "charge back" mechanism is now being used by CalPX indiscriminately, and as the principal means for recovering uncollectible receivables of an enormous magnitude.  This cannot be what FERC (or certainly, any market participant) intended.  For these reasons, FERC is likely to modify or stop CalPX's implementation of the "charge back" procedure in response to the market participants' Complaint.</w:t>
      </w:r>
    </w:p>
    <w:p>
      <w:pPr>
        <w:pStyle w:val="Normal"/>
        <w:widowControl/>
        <w:spacing w:lineRule="exact" w:line="480"/>
        <w:rPr/>
      </w:pPr>
      <w:r>
        <w:rPr/>
        <w:t xml:space="preserve"> </w:t>
      </w:r>
    </w:p>
    <w:p>
      <w:pPr>
        <w:pStyle w:val="Normal"/>
        <w:widowControl/>
        <w:tabs>
          <w:tab w:val="clear" w:pos="720"/>
          <w:tab w:val="left" w:pos="-1440" w:leader="none"/>
        </w:tabs>
        <w:spacing w:lineRule="exact" w:line="480"/>
        <w:ind w:hanging="720" w:start="1440" w:end="0"/>
        <w:rPr/>
      </w:pPr>
      <w:r>
        <w:rPr/>
        <w:t>B.</w:t>
        <w:tab/>
      </w:r>
      <w:r>
        <w:rPr>
          <w:u w:val="single"/>
        </w:rPr>
        <w:t>There Is No Basis for CalPX's Effort to Apply Charge-Backs in an Iterative Manner to Burden Unequally the "Last Man Standing"</w:t>
      </w:r>
    </w:p>
    <w:p>
      <w:pPr>
        <w:pStyle w:val="Normal"/>
        <w:widowControl/>
        <w:spacing w:lineRule="exact" w:line="480"/>
        <w:ind w:firstLine="720" w:end="0"/>
        <w:rPr/>
      </w:pPr>
      <w:r>
        <w:rPr/>
      </w:r>
    </w:p>
    <w:p>
      <w:pPr>
        <w:pStyle w:val="Normal"/>
        <w:widowControl/>
        <w:spacing w:lineRule="exact" w:line="480"/>
        <w:ind w:firstLine="1440" w:end="0"/>
        <w:rPr/>
      </w:pPr>
      <w:r>
        <w:rPr/>
        <w:t xml:space="preserve">As set forth in Count 2 of the FERC filing, CalPX is also invoking the "charge back" mechanism in an iterative way -- charging back not only the initial defaults of CalPX market participants, but also any defaults that result from the "charge backs" themselves.  </w:t>
      </w:r>
      <w:r>
        <w:rPr>
          <w:u w:val="single"/>
        </w:rPr>
        <w:t>See</w:t>
      </w:r>
      <w:r>
        <w:rPr/>
        <w:t xml:space="preserve"> FERC Complaint, Bird Decl. Ex. A, Count 2; </w:t>
      </w:r>
      <w:r>
        <w:rPr>
          <w:u w:val="single"/>
        </w:rPr>
        <w:t>see also</w:t>
      </w:r>
      <w:r>
        <w:rPr/>
        <w:t xml:space="preserve"> Opp. at 11.  CalPX is not a student of history:  a similar practice produced the domino chain of bank failures in the savings</w:t>
      </w:r>
    </w:p>
    <w:p>
      <w:pPr>
        <w:pStyle w:val="Normal"/>
        <w:widowControl/>
        <w:spacing w:lineRule="exact" w:line="480"/>
        <w:rPr/>
      </w:pPr>
      <w:r>
        <w:rPr/>
        <w:t>and loan debacle of the 1980s, known as a "death spiral" in which one default leads to other defaults that ends only when it reaches "the last man standing."</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ind w:firstLine="1440" w:end="0"/>
        <w:rPr/>
      </w:pPr>
      <w:r>
        <w:rPr/>
        <w:t xml:space="preserve">Under CalPX's interpretation of the Tariff, if any participant in any of its markets (a) bought energy, (b) has ample collateral, and (c) comes within CalPX's grasp, CalPX has the ultimate ability to invoice that participant for the </w:t>
      </w:r>
      <w:r>
        <w:rPr>
          <w:u w:val="single"/>
        </w:rPr>
        <w:t>full $1 billion balance</w:t>
      </w:r>
      <w:r>
        <w:rPr/>
        <w:t xml:space="preserve"> of SCE's and PG&amp;E's defaults, provided no one else is able or willing to pay.  This unlimited, spiraling use of the "charge back" provision is not likely to be condoned by FERC -- particularly given memories of the savings and loan disaster.</w:t>
      </w:r>
    </w:p>
    <w:p>
      <w:pPr>
        <w:pStyle w:val="Normal"/>
        <w:widowControl/>
        <w:spacing w:lineRule="exact" w:line="480"/>
        <w:ind w:start="720" w:end="0"/>
        <w:rPr/>
      </w:pPr>
      <w:r>
        <w:rPr/>
      </w:r>
    </w:p>
    <w:p>
      <w:pPr>
        <w:pStyle w:val="Normal"/>
        <w:widowControl/>
        <w:tabs>
          <w:tab w:val="clear" w:pos="720"/>
          <w:tab w:val="left" w:pos="-1440" w:leader="none"/>
        </w:tabs>
        <w:spacing w:lineRule="exact" w:line="480"/>
        <w:ind w:hanging="720" w:start="1440" w:end="0"/>
        <w:rPr/>
      </w:pPr>
      <w:r>
        <w:rPr/>
        <w:t xml:space="preserve">C. </w:t>
        <w:tab/>
      </w:r>
      <w:r>
        <w:rPr>
          <w:u w:val="single"/>
        </w:rPr>
        <w:t>CalPX Cannot Properly Charge Participants in Other Markets with Defaults Resulting from Its Role as a Scheduling Coordinator in the Real-Time Market.</w:t>
      </w:r>
      <w:r>
        <w:rPr/>
        <w:t xml:space="preserve">  </w:t>
      </w:r>
    </w:p>
    <w:p>
      <w:pPr>
        <w:pStyle w:val="Normal"/>
        <w:widowControl/>
        <w:spacing w:lineRule="exact" w:line="480"/>
        <w:rPr/>
      </w:pPr>
      <w:r>
        <w:rPr/>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ind w:firstLine="1440" w:end="0"/>
        <w:rPr/>
      </w:pPr>
      <w:r>
        <w:rPr/>
        <w:t xml:space="preserve">CalPX improperly seeks to charge sellers in the Core and CTS markets with deficits from real-time market defaults, notwithstanding the fact that the real-time market is separate from the day-of, day-ahead, and block-forward markets runs by CalPX.  When California partially deregulated the market for electric energy in March 1998, the ISO -- the California Independent System Operator Corporation -- became the manager of most of the state's power grid and of California's transmission system.  Along with operating the power grid, the ISO is responsible for maintaining the reliability of the transmission grid and ensuring an adequate supply of electricity to power customers.  In order to do this, the ISO also acts as a clearinghouse for energy transactions in the final hours before energy is consumed.  Thus, if customer demand is not met by scheduled supplies into CalPX's exchange markets, by independent purchases under bilateral contracts, or by the utilities' own generation assets and power purchase contracts, the ISO is required to procure additional electricity to maintain the reliability of the transmission grid and serve customer demand.  The ISO does so by purchasing electricity on a "real time" basis and purchasing reserve generating capacity that can be called upon when needed.   The highest volume of real-time trading is through what is called the Real Time Imbalance Market (the "Real Time Imbalance Market").  Essentially, the Real Time Imbalance Market is a spot market for electrical power and allows the ISO to rectify imbalances in electricity supply and demand on a "real time" basis.  The ISO makes adjustments in power deliveries second-by-second to match changes in California's demand for power at any given time.  Market traders, using designated "Scheduling Coordinators," either receive payment for extra generation they supply or are later billed for the extra energy they need. </w:t>
      </w:r>
    </w:p>
    <w:p>
      <w:pPr>
        <w:pStyle w:val="Normal"/>
        <w:widowControl/>
        <w:spacing w:lineRule="exact" w:line="480"/>
        <w:ind w:firstLine="1440" w:end="0"/>
        <w:rPr/>
      </w:pPr>
      <w:r>
        <w:rPr/>
        <w:t xml:space="preserve">In addition to running the day-of, day-ahead and block-forward (CTS) markets, in  which EPMI was a participant, CalPX served as the ISO Scheduling Coordinator for SCE and PG&amp;E and other participants in the Real Time Imbalance Market.  Accordingly, under the ISO Tariff, ISO invoices CalPX for the amount it had to pay for SCE and PG&amp;E's use of the real-time electricity, called "Imbalance Energy."  CalPX in turn bills SCE and PG&amp;E for the amounts billed to it by the ISO.  </w:t>
      </w:r>
    </w:p>
    <w:p>
      <w:pPr>
        <w:pStyle w:val="Normal"/>
        <w:widowControl/>
        <w:spacing w:lineRule="exact" w:line="480"/>
        <w:ind w:firstLine="1440" w:end="0"/>
        <w:rPr/>
      </w:pPr>
      <w:r>
        <w:rPr/>
        <w:t xml:space="preserve">The problem arises from the fact that SCE and PG&amp;E have defaulted or will default on over $1 billion of payment obligations in the real time imbalance market.  The majority of CalPX's impending "charge backs" to EPMI and other market participants relate to these existing or potential defaults by SCE and PG&amp;E.  As the financial condition of these two utilities deteriorated and their liquidity worsened, SCE and PG&amp;E both moved to purchase less energy in CalPX's day-ahead and day-of markets -- which required prompt payment or even "cash" up front -- and increasingly shifted their electricity purchases to the more </w:t>
      </w:r>
      <w:r>
        <w:rPr>
          <w:i/>
        </w:rPr>
        <w:t>expensive</w:t>
      </w:r>
      <w:r>
        <w:rPr/>
        <w:t xml:space="preserve"> real time market, simply because it allows for deferred payment.  As is now more than clear, SCE and PG&amp;E bought far more power than they could afford and are unable to pay the bills.  PG&amp;E has announced that it will not pay for its obligations in the Real Time Imbalance Market and SCE is also expected to default, in the aggregate amount of over $1 billion.  </w:t>
      </w:r>
      <w:r>
        <w:rPr>
          <w:u w:val="single"/>
        </w:rPr>
        <w:t>See, e.g.</w:t>
      </w:r>
      <w:r>
        <w:rPr/>
        <w:t xml:space="preserve">, Bird Decl. Ex. R.  </w:t>
      </w:r>
    </w:p>
    <w:p>
      <w:pPr>
        <w:pStyle w:val="Normal"/>
        <w:widowControl/>
        <w:spacing w:lineRule="exact" w:line="480"/>
        <w:ind w:firstLine="1440" w:end="0"/>
        <w:rPr/>
      </w:pPr>
      <w:r>
        <w:rPr/>
        <w:t>Finding itself with a bill from ISO that it cannot pay, CalPX initiated a "charge back" scheme to try to shift these real-time market liabilities to innocent participants in other markets.  As FERC will likely find, CalPX cannot properly charge its market participants for defaults of SCE and PG&amp;E in the ISO Real Time Imbalance Market.</w:t>
      </w:r>
    </w:p>
    <w:p>
      <w:pPr>
        <w:pStyle w:val="Normal"/>
        <w:widowControl/>
        <w:spacing w:lineRule="exact" w:line="480"/>
        <w:ind w:firstLine="1440" w:end="0"/>
        <w:rPr/>
      </w:pPr>
      <w:r>
        <w:rPr/>
        <w:t xml:space="preserve">The PX Tariff and the Rate Schedule do not permit CalPX to shift its obligations as Scheduling Coordinator in the ISO Real Time Market to the sellers in the CalPX markets.  For example, EPMI had nothing to do with the power purchased by the utilities in the Real Time Imbalance Market and is not, and should not be, obligated to cover defaults in that market.  </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ind w:firstLine="1440" w:end="0"/>
        <w:rPr/>
      </w:pPr>
      <w:r>
        <w:rPr/>
        <w:t xml:space="preserve">FERC will likely conclude the following:  a plain reading of Section 5.3 of Schedule 2 of the CalPX Tariff -- on which CalPX purports to rely on in making "charge backs"  -- reveals that CalPX only has the authority to impose "charge backs," if at all, based on defaults on amounts owed to "CalPX Participants."  As noted above, the defaults of SCE and PG&amp;E  in the Real Time Imbalance Market were not for amounts owed to CalPX Participants, but rather for amounts owed to ISO or ISO creditors.  CalPX has not even attempted to explain on what basis it is planning to assess these Real Time Imbalance Market defaults against EPMI and others similarly situated.  </w:t>
      </w:r>
    </w:p>
    <w:p>
      <w:pPr>
        <w:pStyle w:val="Normal"/>
        <w:widowControl/>
        <w:spacing w:lineRule="exact" w:line="480"/>
        <w:ind w:firstLine="1440" w:end="0"/>
        <w:rPr/>
      </w:pPr>
      <w:r>
        <w:rPr/>
        <w:t>Further, the ISO Tariff, which is filed with FERC, provides for specific remedies in the event of a default in the Real Time Imbalance Market.  Specifically, Section 11.16.1 of the ISO Tariff mandates that, in the event of a default by a Scheduling Coordinator, the ISO first must exhaust any collateral the purchaser has posted before spreading the loss proportionally among the various participants selling into the Real Time Imbalance Market. Similar to the provisions of the CalPX tariffs, proportional sharing (or "charge back") is the final straw in dealing with the default of a Scheduling Coordinator.  Section 11.16.1 provides:</w:t>
      </w:r>
    </w:p>
    <w:p>
      <w:pPr>
        <w:pStyle w:val="Normal"/>
        <w:widowControl/>
        <w:spacing w:lineRule="exact" w:line="480"/>
        <w:ind w:start="1440" w:end="1440"/>
        <w:rPr/>
      </w:pPr>
      <w:r>
        <w:rPr>
          <w:i/>
        </w:rPr>
        <w:t>If it is not possible</w:t>
      </w:r>
      <w:r>
        <w:rPr/>
        <w:t xml:space="preserve"> to clear the ISO clearing Account on a Payment Date because of an insufficiency of funds available in the ISO Reserve Account or by enforcing any guarantee, letter of credit or other credit support provided by a defaulting Scheduling Coordinator, the ISO shall reduce payments to all ISO Creditors proportionally to the net amounts payment to them on the relevant Payment Date to the extent necessary to clear the ISO Clearing Account. </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rPr/>
      </w:pPr>
      <w:r>
        <w:rPr>
          <w:u w:val="single"/>
        </w:rPr>
        <w:t>See</w:t>
      </w:r>
      <w:r>
        <w:rPr/>
        <w:t xml:space="preserve"> Bird Decl. Ex. S, § 11.16.1 (emphasis added).   In other words, if any "charge back" is permitted the </w:t>
      </w:r>
      <w:r>
        <w:rPr>
          <w:u w:val="single"/>
        </w:rPr>
        <w:t>ISO creditors</w:t>
      </w:r>
      <w:r>
        <w:rPr/>
        <w:t xml:space="preserve"> are to bear the burden of a default in the ISO Real Time Imbalance Market, not the Core or CTS market participants (some of whom may never have participated in the real time market).  Any attempt by CalPX to issue "charge back" invoices or otherwise to charge EPMI for a default in the Real Time Imbalance Market would thus be violative of its own Tariff, of the ISO Tariff and of the Participation Agreements signed by EPMI, and FERC will likely so conclude.</w:t>
      </w:r>
    </w:p>
    <w:p>
      <w:pPr>
        <w:pStyle w:val="Normal"/>
        <w:widowControl/>
        <w:spacing w:lineRule="exact" w:line="480"/>
        <w:rPr/>
      </w:pPr>
      <w:r>
        <w:rPr/>
      </w:r>
    </w:p>
    <w:p>
      <w:pPr>
        <w:pStyle w:val="Normal"/>
        <w:widowControl/>
        <w:tabs>
          <w:tab w:val="clear" w:pos="720"/>
          <w:tab w:val="left" w:pos="-1440" w:leader="none"/>
        </w:tabs>
        <w:spacing w:lineRule="exact" w:line="480"/>
        <w:ind w:hanging="720" w:start="1440" w:end="0"/>
        <w:rPr/>
      </w:pPr>
      <w:r>
        <w:rPr/>
        <w:t>D.</w:t>
        <w:tab/>
      </w:r>
      <w:r>
        <w:rPr>
          <w:u w:val="single"/>
        </w:rPr>
        <w:t>FERC Will Likely Find that CalPX Has Not Satisfied the Prerequisites for Any "Charge Backs"</w:t>
      </w:r>
    </w:p>
    <w:p>
      <w:pPr>
        <w:pStyle w:val="Normal"/>
        <w:widowControl/>
        <w:spacing w:lineRule="exact" w:line="480"/>
        <w:rPr/>
      </w:pPr>
      <w:r>
        <w:rPr/>
      </w:r>
    </w:p>
    <w:p>
      <w:pPr>
        <w:pStyle w:val="Normal"/>
        <w:widowControl/>
        <w:spacing w:lineRule="exact" w:line="480"/>
        <w:ind w:firstLine="1440" w:end="0"/>
        <w:rPr/>
      </w:pPr>
      <w:r>
        <w:rPr/>
        <w:t xml:space="preserve">Not only is CalPX applying the "charge back" provision in ways which FERC could not possibly have envisioned or intended, and to participants in the wrong markets, CalPX is invoking this provision before the required preconditions for its use have even been met.  </w:t>
      </w:r>
      <w:r>
        <w:rPr>
          <w:u w:val="single"/>
        </w:rPr>
        <w:t>See</w:t>
      </w:r>
      <w:r>
        <w:rPr/>
        <w:t xml:space="preserve"> FERC Complaint, Bird Decl. Ex. A, ¶ 8.  The PX tariff requires that before any "charge backs" are permissible, CalPX must pursue a sequence of other steps intended to prevent or mitigate the need for "charge backs" in all but the most infrequent circumstances.  </w:t>
      </w:r>
      <w:r>
        <w:rPr>
          <w:u w:val="single"/>
        </w:rPr>
        <w:t>See</w:t>
      </w:r>
      <w:r>
        <w:rPr/>
        <w:t xml:space="preserve"> Bird Decl. Ex. B § 5.1; Bird Decl. Ex. D § 3.6, at 42-44.  Ignoring this, CalPX is now seeking to apply "charge backs" before exhausting these other methods of less intrusive recovery.</w:t>
      </w:r>
    </w:p>
    <w:p>
      <w:pPr>
        <w:pStyle w:val="Normal"/>
        <w:widowControl/>
        <w:spacing w:lineRule="exact" w:line="480"/>
        <w:ind w:firstLine="1440" w:end="0"/>
        <w:rPr/>
      </w:pPr>
      <w:r>
        <w:rPr/>
        <w:t xml:space="preserve">For example, Section 5.1 of Schedule 2 of the PX Tariff provides a "methodology" to allocate loss, with </w:t>
      </w:r>
      <w:r>
        <w:rPr>
          <w:u w:val="single"/>
        </w:rPr>
        <w:t>step one</w:t>
      </w:r>
      <w:r>
        <w:rPr/>
        <w:t xml:space="preserve"> being application of a defaulting market participant's "total collateral to recover the total loss."  Bird Decl. Ex. B § 5.1.  Similarly, the tariff cited by CalPX as support for its unilateral "charge backs" was never finally approved by FERC, but rather was approved on a conditional basis only.  </w:t>
      </w:r>
      <w:r>
        <w:rPr>
          <w:u w:val="single"/>
        </w:rPr>
        <w:t>See</w:t>
      </w:r>
      <w:r>
        <w:rPr/>
        <w:t xml:space="preserve"> California Power Exchange Corp., 92 FERC ¶ 61,096 (2000).  In any event, it does not allow CalPX to do what it says it plans to do here; instead, before implementing charge-backs, FERC has made clear that CalPX must pass through each of the following steps:</w:t>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ind w:start="1440" w:end="720"/>
        <w:rPr/>
      </w:pPr>
      <w:r>
        <w:rPr/>
        <w:t xml:space="preserve">Prior to settlement of the real-time invoice, CalPX would increase the defaulting party's collateral requirement to cover the performance default amount.  If the party then fails to pay its invoice, CalPX could take enforcement action against the defaulting party by taking its collateral.  If such company-specific enforcement actions are still inadequate, the Core Market Pool Performance Surety Bond would apply to the default according to the ratio of liability in each Market.  Only when all of these actions have failed would . . . Market Participants be exposed to pro-rata chargeback procedures in the Core Market. </w:t>
      </w:r>
    </w:p>
    <w:p>
      <w:pPr>
        <w:pStyle w:val="Normal"/>
        <w:widowControl/>
        <w:spacing w:lineRule="exact" w:line="480"/>
        <w:rPr/>
      </w:pPr>
      <w:r>
        <w:rPr>
          <w:u w:val="single"/>
        </w:rPr>
        <w:t>Id.</w:t>
      </w:r>
      <w:r>
        <w:rPr/>
        <w:t xml:space="preserve"> at 61,378-79 (emphasis added).  CalPX has not yet taken these mitigating steps:  it has not proceeded against SCE's and PG&amp;E's collateral (and now cannot do so because of actions of the State); and it has not drawn down any of the market Surety Bonds (as evidence by CalPX's ongoing crusade to have EPMI sign onto the bonds for their full amount).  Accordingly, by FERC's own restrictions, CalPX has failed to satisfy the prerequisites for assessing any "charge backs."</w:t>
      </w:r>
    </w:p>
    <w:p>
      <w:pPr>
        <w:pStyle w:val="Normal"/>
        <w:widowControl/>
        <w:spacing w:lineRule="exact" w:line="480"/>
        <w:rPr/>
      </w:pPr>
      <w:r>
        <w:rPr/>
      </w:r>
    </w:p>
    <w:p>
      <w:pPr>
        <w:pStyle w:val="Normal"/>
        <w:widowControl/>
        <w:tabs>
          <w:tab w:val="clear" w:pos="720"/>
          <w:tab w:val="left" w:pos="-1440" w:leader="none"/>
        </w:tabs>
        <w:spacing w:lineRule="exact" w:line="480"/>
        <w:ind w:hanging="720" w:start="1440" w:end="0"/>
        <w:rPr/>
      </w:pPr>
      <w:r>
        <w:rPr/>
        <w:t>E.</w:t>
        <w:tab/>
      </w:r>
      <w:r>
        <w:rPr>
          <w:u w:val="single"/>
        </w:rPr>
        <w:t>CalPX Has Admitted that FERC Should Assist in the Wind-Down of Its Affairs</w:t>
      </w:r>
    </w:p>
    <w:p>
      <w:pPr>
        <w:pStyle w:val="Normal"/>
        <w:widowControl/>
        <w:spacing w:lineRule="exact" w:line="480"/>
        <w:rPr>
          <w:u w:val="single"/>
        </w:rPr>
      </w:pPr>
      <w:r>
        <w:rPr>
          <w:u w:val="single"/>
        </w:rPr>
      </w:r>
    </w:p>
    <w:p>
      <w:pPr>
        <w:pStyle w:val="Normal"/>
        <w:widowControl/>
        <w:spacing w:lineRule="exact" w:line="480"/>
        <w:ind w:firstLine="1440" w:end="0"/>
        <w:rPr/>
      </w:pPr>
      <w:r>
        <w:rPr/>
        <w:t>In a recent (January 25, 2001) letter to FERC's Chairman, for example, CalPX's CEO, George Sladoje, promised:</w:t>
      </w:r>
    </w:p>
    <w:p>
      <w:pPr>
        <w:pStyle w:val="Normal"/>
        <w:widowControl/>
        <w:spacing w:lineRule="exact" w:line="480"/>
        <w:ind w:start="1440" w:end="720"/>
        <w:rPr/>
      </w:pPr>
      <w:r>
        <w:rPr/>
        <w:t xml:space="preserve">CalPX commits to work with Commission to the extent of its abilities in order to enable Commission to determine the appropriate disbursements </w:t>
      </w:r>
      <w:r>
        <w:rPr>
          <w:u w:val="single"/>
        </w:rPr>
        <w:t>and charges for CalPX to make to its market participants.</w:t>
      </w:r>
    </w:p>
    <w:p>
      <w:pPr>
        <w:pStyle w:val="Normal"/>
        <w:widowControl/>
        <w:spacing w:lineRule="exact" w:line="480"/>
        <w:rPr/>
      </w:pPr>
      <w:r>
        <w:rPr/>
        <w:t xml:space="preserve">Bird Decl. Ex. Q.  Although CalPX's Opposition does not suggest that CalPX has worked with FERC at all in this regard, CalPX can hardly object to FERC's reviewing the propriety of its planned "charge backs." </w:t>
      </w:r>
    </w:p>
    <w:p>
      <w:pPr>
        <w:pStyle w:val="Normal"/>
        <w:widowControl/>
        <w:spacing w:lineRule="exact" w:line="480"/>
        <w:rPr/>
      </w:pPr>
      <w:r>
        <w:rPr/>
      </w:r>
    </w:p>
    <w:p>
      <w:pPr>
        <w:pStyle w:val="Normal"/>
        <w:widowControl/>
        <w:spacing w:lineRule="exact" w:line="480"/>
        <w:rPr/>
      </w:pPr>
      <w:r>
        <w:rPr/>
        <w:t>IV.</w:t>
        <w:tab/>
      </w:r>
      <w:r>
        <w:rPr>
          <w:u w:val="single"/>
        </w:rPr>
        <w:t>AN INJUNCTION IS NECESSARY TO SECURE ANY CHARGE-BACK PROCEEDS</w:t>
      </w:r>
    </w:p>
    <w:p>
      <w:pPr>
        <w:pStyle w:val="Normal"/>
        <w:widowControl/>
        <w:spacing w:lineRule="exact" w:line="480"/>
        <w:ind w:firstLine="720" w:end="0"/>
        <w:rPr/>
      </w:pPr>
      <w:r>
        <w:rPr/>
      </w:r>
    </w:p>
    <w:p>
      <w:pPr>
        <w:sectPr>
          <w:footnotePr>
            <w:numFmt w:val="decimal"/>
          </w:footnotePr>
          <w:type w:val="continuous"/>
          <w:pgSz w:w="12240" w:h="15840"/>
          <w:pgMar w:left="2160" w:right="720" w:gutter="0" w:header="777" w:top="833" w:footer="576" w:bottom="632"/>
          <w:formProt w:val="false"/>
          <w:textDirection w:val="lrTb"/>
          <w:docGrid w:type="default" w:linePitch="360" w:charSpace="0"/>
        </w:sectPr>
      </w:pPr>
    </w:p>
    <w:p>
      <w:pPr>
        <w:pStyle w:val="Normal"/>
        <w:widowControl/>
        <w:spacing w:lineRule="exact" w:line="480"/>
        <w:ind w:firstLine="1440" w:end="0"/>
        <w:rPr/>
      </w:pPr>
      <w:r>
        <w:rPr/>
        <w:t>A restraining order, and a subsequent preliminary injunction, are required because Enron will have no remedy in money damages if CalPX fails to secure assets it has already seized from Enron, or funds it succeeds in obtaining through "charge backs," in an escrow account.  CalPX has no substantial assets.  It is virtually out of business, having suspended its operations as of the end of January 2001, having lost many of its empolyees, and having retained bankruptcy counsel.  As a result, any amounts seized from Plaintiffs are at risk.  Further, CalPX threatens in its Opposition that if Plaintiffs do not pay charge</w:t>
        <w:noBreakHyphen/>
        <w:t xml:space="preserve">back amounts, CalPX will proceed to declare Plaintiffs in default, leading to the letter of credit draws it has already shown a propensity to effect on little or no notice.  </w:t>
      </w:r>
      <w:r>
        <w:rPr>
          <w:u w:val="single"/>
        </w:rPr>
        <w:t>See</w:t>
      </w:r>
      <w:r>
        <w:rPr/>
        <w:t xml:space="preserve"> Opp. at 3.  </w:t>
      </w:r>
    </w:p>
    <w:p>
      <w:pPr>
        <w:pStyle w:val="Normal"/>
        <w:widowControl/>
        <w:spacing w:lineRule="exact" w:line="480"/>
        <w:ind w:firstLine="1440" w:end="0"/>
        <w:rPr/>
      </w:pPr>
      <w:r>
        <w:rPr/>
        <w:t xml:space="preserve">Finally, Enron has no likely ability to recover from defaulting parties, including SCE and PG&amp;E, which are insolvent, as shown in prior submissions to the Court.  </w:t>
      </w:r>
      <w:r>
        <w:rPr>
          <w:u w:val="single"/>
        </w:rPr>
        <w:t>See</w:t>
      </w:r>
      <w:r>
        <w:rPr/>
        <w:t xml:space="preserve"> Olivar Decl. Exs. 5-6.  An order placing letter of credit proceeds already drawn into an escrow account, and avoiding additional draws based on "charge backs" or other theories, is thus necessary pending resolution of the propriety of "charge backs" and the other issues between the parties in the FERC-approved AAA arbitration and before FERC itself.</w:t>
      </w:r>
    </w:p>
    <w:p>
      <w:pPr>
        <w:pStyle w:val="Normal"/>
        <w:widowControl/>
        <w:spacing w:lineRule="exact" w:line="480"/>
        <w:rPr/>
      </w:pPr>
      <w:r>
        <w:rPr/>
      </w:r>
    </w:p>
    <w:p>
      <w:pPr>
        <w:pStyle w:val="Normal"/>
        <w:widowControl/>
        <w:spacing w:lineRule="exact" w:line="480"/>
        <w:rPr/>
      </w:pPr>
      <w:r>
        <w:rPr/>
        <w:t>V.</w:t>
        <w:tab/>
      </w:r>
      <w:r>
        <w:rPr>
          <w:u w:val="single"/>
        </w:rPr>
        <w:t>CONCLUSION</w:t>
      </w:r>
    </w:p>
    <w:p>
      <w:pPr>
        <w:pStyle w:val="Normal"/>
        <w:widowControl/>
        <w:spacing w:lineRule="exact" w:line="480"/>
        <w:rPr>
          <w:u w:val="single"/>
        </w:rPr>
      </w:pPr>
      <w:r>
        <w:rPr>
          <w:u w:val="single"/>
        </w:rPr>
      </w:r>
    </w:p>
    <w:p>
      <w:pPr>
        <w:pStyle w:val="Normal"/>
        <w:widowControl/>
        <w:spacing w:lineRule="exact" w:line="480"/>
        <w:ind w:firstLine="1440" w:end="0"/>
        <w:rPr/>
      </w:pPr>
      <w:r>
        <w:rPr/>
        <w:t xml:space="preserve">Based on the foregoing, Enron and the other market participants are likely to demonstrate to FERC that the "charge backs" being imposed by CalPX are improper.  The threatened "charge backs" do not improve CalPX's position, and CalPX should be ordered to refrain from further draws on Enron's letter of credit, and to place any and all funds seized from those letters of credit into a third-party escrow account, until FERC rules on the propriety of CalPX's "charge backs."  </w:t>
      </w:r>
    </w:p>
    <w:p>
      <w:pPr>
        <w:pStyle w:val="Normal"/>
        <w:keepNext w:val="true"/>
        <w:keepLines/>
        <w:widowControl/>
        <w:tabs>
          <w:tab w:val="clear" w:pos="720"/>
          <w:tab w:val="left" w:pos="4032" w:leader="none"/>
          <w:tab w:val="left" w:pos="4320" w:leader="none"/>
          <w:tab w:val="center" w:pos="6768" w:leader="none"/>
        </w:tabs>
        <w:spacing w:lineRule="exact" w:line="480"/>
        <w:rPr/>
      </w:pPr>
      <w:r>
        <w:rPr/>
      </w:r>
      <w:bookmarkStart w:id="0" w:name="SignatureStart"/>
      <w:bookmarkStart w:id="1" w:name="SignatureStart"/>
      <w:bookmarkEnd w:id="1"/>
    </w:p>
    <w:p>
      <w:pPr>
        <w:pStyle w:val="Normal"/>
        <w:keepNext w:val="true"/>
        <w:keepLines/>
        <w:widowControl/>
        <w:tabs>
          <w:tab w:val="clear" w:pos="720"/>
          <w:tab w:val="left" w:pos="4032" w:leader="none"/>
          <w:tab w:val="left" w:pos="4320" w:leader="none"/>
          <w:tab w:val="center" w:pos="6768" w:leader="none"/>
        </w:tabs>
        <w:spacing w:lineRule="exact" w:line="480"/>
        <w:rPr/>
      </w:pPr>
      <w:r>
        <w:rPr/>
        <w:t>DATED:  February 8, 2001</w:t>
      </w:r>
    </w:p>
    <w:p>
      <w:pPr>
        <w:pStyle w:val="Normal"/>
        <w:keepNext w:val="true"/>
        <w:keepLines/>
        <w:widowControl/>
        <w:tabs>
          <w:tab w:val="clear" w:pos="720"/>
          <w:tab w:val="left" w:pos="4032" w:leader="none"/>
          <w:tab w:val="left" w:pos="4320" w:leader="none"/>
          <w:tab w:val="center" w:pos="6768" w:leader="none"/>
        </w:tabs>
        <w:spacing w:lineRule="exact" w:line="480"/>
        <w:rPr/>
      </w:pPr>
      <w:r>
        <w:rPr/>
      </w:r>
    </w:p>
    <w:p>
      <w:pPr>
        <w:pStyle w:val="Normal"/>
        <w:keepNext w:val="true"/>
        <w:keepLines/>
        <w:widowControl/>
        <w:tabs>
          <w:tab w:val="clear" w:pos="720"/>
          <w:tab w:val="left" w:pos="4032" w:leader="none"/>
          <w:tab w:val="left" w:pos="4320" w:leader="none"/>
          <w:tab w:val="center" w:pos="6768" w:leader="none"/>
        </w:tabs>
        <w:spacing w:lineRule="exact" w:line="480"/>
        <w:ind w:start="4032" w:end="0"/>
        <w:rPr/>
      </w:pPr>
      <w:r>
        <w:rPr/>
        <w:t>QUINN EMANUEL URQUHART OLIVER &amp; HEDGES, LLP</w:t>
      </w:r>
    </w:p>
    <w:p>
      <w:pPr>
        <w:pStyle w:val="Normal"/>
        <w:keepNext w:val="true"/>
        <w:keepLines/>
        <w:widowControl/>
        <w:tabs>
          <w:tab w:val="clear" w:pos="720"/>
          <w:tab w:val="left" w:pos="4032" w:leader="none"/>
          <w:tab w:val="left" w:pos="4320" w:leader="none"/>
          <w:tab w:val="center" w:pos="6768" w:leader="none"/>
        </w:tabs>
        <w:spacing w:lineRule="exact" w:line="480"/>
        <w:rPr/>
      </w:pPr>
      <w:r>
        <w:rPr/>
      </w:r>
    </w:p>
    <w:p>
      <w:pPr>
        <w:pStyle w:val="Normal"/>
        <w:keepNext w:val="true"/>
        <w:keepLines/>
        <w:widowControl/>
        <w:tabs>
          <w:tab w:val="clear" w:pos="720"/>
          <w:tab w:val="left" w:pos="4032" w:leader="none"/>
          <w:tab w:val="left" w:pos="4320" w:leader="none"/>
          <w:tab w:val="center" w:pos="6768" w:leader="none"/>
        </w:tabs>
        <w:spacing w:lineRule="exact" w:line="480"/>
        <w:rPr/>
      </w:pPr>
      <w:r>
        <w:rPr/>
      </w:r>
    </w:p>
    <w:p>
      <w:pPr>
        <w:pStyle w:val="Normal"/>
        <w:keepNext w:val="true"/>
        <w:keepLines/>
        <w:widowControl/>
        <w:tabs>
          <w:tab w:val="clear" w:pos="720"/>
          <w:tab w:val="right" w:pos="9360" w:leader="none"/>
        </w:tabs>
        <w:spacing w:lineRule="exact" w:line="240"/>
        <w:ind w:firstLine="4032" w:end="0"/>
        <w:rPr/>
      </w:pPr>
      <w:r>
        <w:rPr/>
        <w:t>By</w:t>
      </w:r>
      <w:r>
        <w:rPr>
          <w:u w:val="single"/>
        </w:rPr>
        <w:tab/>
      </w:r>
    </w:p>
    <w:p>
      <w:pPr>
        <w:pStyle w:val="Normal"/>
        <w:keepNext w:val="true"/>
        <w:keepLines/>
        <w:widowControl/>
        <w:tabs>
          <w:tab w:val="clear" w:pos="720"/>
          <w:tab w:val="left" w:pos="4032" w:leader="none"/>
          <w:tab w:val="left" w:pos="4320" w:leader="none"/>
          <w:tab w:val="center" w:pos="6768" w:leader="none"/>
        </w:tabs>
        <w:spacing w:lineRule="exact" w:line="240"/>
        <w:ind w:firstLine="4320" w:end="0"/>
        <w:rPr/>
      </w:pPr>
      <w:r>
        <w:rPr/>
        <w:t>Harry A. Olivar, Jr.</w:t>
      </w:r>
    </w:p>
    <w:p>
      <w:pPr>
        <w:pStyle w:val="Normal"/>
        <w:keepNext w:val="true"/>
        <w:keepLines/>
        <w:widowControl/>
        <w:tabs>
          <w:tab w:val="clear" w:pos="720"/>
          <w:tab w:val="left" w:pos="4032" w:leader="none"/>
          <w:tab w:val="left" w:pos="4320" w:leader="none"/>
          <w:tab w:val="center" w:pos="6768" w:leader="none"/>
        </w:tabs>
        <w:spacing w:lineRule="exact" w:line="240"/>
        <w:ind w:firstLine="4320" w:end="0"/>
        <w:rPr/>
      </w:pPr>
      <w:r>
        <w:rPr/>
        <w:t>Attorneys for Plaintiffs</w:t>
      </w:r>
    </w:p>
    <w:p>
      <w:pPr>
        <w:pStyle w:val="Normal"/>
        <w:keepLines/>
        <w:widowControl/>
        <w:tabs>
          <w:tab w:val="clear" w:pos="720"/>
          <w:tab w:val="left" w:pos="4032" w:leader="none"/>
          <w:tab w:val="left" w:pos="4320" w:leader="none"/>
          <w:tab w:val="center" w:pos="6768" w:leader="none"/>
        </w:tabs>
        <w:spacing w:lineRule="exact" w:line="240"/>
        <w:ind w:firstLine="4320" w:end="0"/>
        <w:rPr/>
      </w:pPr>
      <w:r>
        <w:rPr/>
        <w:t xml:space="preserve">Enron Corporation and Enron Power </w:t>
        <w:tab/>
        <w:tab/>
        <w:t>Marketing, Inc.</w:t>
      </w:r>
    </w:p>
    <w:sectPr>
      <w:footnotePr>
        <w:numFmt w:val="decimal"/>
      </w:footnote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9"/>
      </w:rPr>
    </w:pPr>
    <w:r>
      <w:fldChar w:fldCharType="begin"/>
    </w:r>
    <w:r>
      <w:rPr>
        <w:sz w:val="19"/>
      </w:rPr>
      <w:instrText xml:space="preserve">ADVANCE \d14</w:instrText>
    </w:r>
    <w:r>
      <w:rPr>
        <w:sz w:val="19"/>
      </w:rPr>
    </w:r>
    <w:r>
      <w:rPr>
        <w:sz w:val="19"/>
      </w:rPr>
      <w:fldChar w:fldCharType="separate"/>
    </w:r>
    <w:r>
      <w:rPr>
        <w:sz w:val="19"/>
      </w:rPr>
    </w:r>
    <w:r/>
    <w:r>
      <w:rPr>
        <w:sz w:val="19"/>
      </w:rPr>
      <w:fldChar w:fldCharType="end"/>
    </w:r>
    <w:r>
      <w:rPr>
        <w:sz w:val="19"/>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43510"/>
              <wp:effectExtent l="0" t="0" r="0" b="0"/>
              <wp:wrapTopAndBottom/>
              <wp:docPr id="11" name="Frame1"/>
              <a:graphic xmlns:a="http://schemas.openxmlformats.org/drawingml/2006/main">
                <a:graphicData uri="http://schemas.microsoft.com/office/word/2010/wordprocessingShape">
                  <wps:wsp>
                    <wps:cNvSpPr txBox="1"/>
                    <wps:spPr>
                      <a:xfrm>
                        <a:off x="0" y="0"/>
                        <a:ext cx="5943600" cy="143510"/>
                      </a:xfrm>
                      <a:prstGeom prst="rect"/>
                      <a:solidFill>
                        <a:srgbClr val="FFFFFF">
                          <a:alpha val="0"/>
                        </a:srgbClr>
                      </a:solidFill>
                    </wps:spPr>
                    <wps:txbx>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pPr>
                          <w:r>
                            <w:rPr>
                              <w:sz w:val="19"/>
                            </w:rPr>
                            <w:t>00999/</w:t>
                          </w:r>
                          <w:r>
                            <w:rPr>
                              <w:sz w:val="19"/>
                            </w:rPr>
                            <w:fldChar w:fldCharType="begin"/>
                          </w:r>
                          <w:r>
                            <w:rPr>
                              <w:sz w:val="19"/>
                            </w:rPr>
                            <w:instrText xml:space="preserve"> FILENAME </w:instrText>
                          </w:r>
                          <w:r>
                            <w:rPr>
                              <w:sz w:val="19"/>
                            </w:rPr>
                            <w:fldChar w:fldCharType="separate"/>
                          </w:r>
                          <w:r>
                            <w:rPr>
                              <w:sz w:val="19"/>
                            </w:rPr>
                            <w:t>supp.reply.brief.doc</w:t>
                          </w:r>
                          <w:r>
                            <w:rPr>
                              <w:sz w:val="19"/>
                            </w:rPr>
                            <w:fldChar w:fldCharType="end"/>
                          </w:r>
                        </w:p>
                      </w:txbxContent>
                    </wps:txbx>
                    <wps:bodyPr anchor="t" lIns="0" tIns="0" rIns="0" bIns="0">
                      <a:noAutofit/>
                    </wps:bodyPr>
                  </wps:wsp>
                </a:graphicData>
              </a:graphic>
            </wp:anchor>
          </w:drawing>
        </mc:Choice>
        <mc:Fallback>
          <w:pict>
            <v:rect fillcolor="#FFFFFF" style="position:absolute;rotation:-0;width:468pt;height:11.3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clear" w:pos="720"/>
                        <w:tab w:val="left" w:pos="-3240" w:leader="none"/>
                        <w:tab w:val="left" w:pos="-2520" w:leader="none"/>
                        <w:tab w:val="left" w:pos="-180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s>
                      <w:ind w:start="-1800" w:end="720"/>
                      <w:rPr/>
                    </w:pPr>
                    <w:r>
                      <w:rPr>
                        <w:sz w:val="19"/>
                      </w:rPr>
                      <w:t>00999/</w:t>
                    </w:r>
                    <w:r>
                      <w:rPr>
                        <w:sz w:val="19"/>
                      </w:rPr>
                      <w:fldChar w:fldCharType="begin"/>
                    </w:r>
                    <w:r>
                      <w:rPr>
                        <w:sz w:val="19"/>
                      </w:rPr>
                      <w:instrText xml:space="preserve"> FILENAME </w:instrText>
                    </w:r>
                    <w:r>
                      <w:rPr>
                        <w:sz w:val="19"/>
                      </w:rPr>
                      <w:fldChar w:fldCharType="separate"/>
                    </w:r>
                    <w:r>
                      <w:rPr>
                        <w:sz w:val="19"/>
                      </w:rPr>
                      <w:t>supp.reply.brief.doc</w:t>
                    </w:r>
                    <w:r>
                      <w:rPr>
                        <w:sz w:val="19"/>
                      </w:rPr>
                      <w:fldChar w:fldCharType="end"/>
                    </w:r>
                  </w:p>
                </w:txbxContent>
              </v:textbox>
              <w10:wrap type="topAndBottom"/>
            </v:rect>
          </w:pict>
        </mc:Fallback>
      </mc:AlternateContent>
    </w:r>
  </w:p>
  <w:p>
    <w:pPr>
      <w:pStyle w:val="Normal"/>
      <w:tabs>
        <w:tab w:val="clear" w:pos="720"/>
        <w:tab w:val="right" w:pos="9360" w:leader="none"/>
      </w:tabs>
      <w:rPr/>
    </w:pPr>
    <w:r>
      <mc:AlternateContent>
        <mc:Choice Requires="wps">
          <w:drawing>
            <wp:anchor behindDoc="1" distT="0" distB="0" distL="114935" distR="114935" simplePos="0" locked="0" layoutInCell="0" allowOverlap="1" relativeHeight="7">
              <wp:simplePos x="0" y="0"/>
              <wp:positionH relativeFrom="page">
                <wp:posOffset>1371600</wp:posOffset>
              </wp:positionH>
              <wp:positionV relativeFrom="paragraph">
                <wp:posOffset>635</wp:posOffset>
              </wp:positionV>
              <wp:extent cx="5943600" cy="12065"/>
              <wp:effectExtent l="0" t="635" r="0" b="0"/>
              <wp:wrapNone/>
              <wp:docPr id="1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8pt;margin-top:0pt;width:467.95pt;height:0.9pt;mso-wrap-style:none;v-text-anchor:middle;mso-position-horizontal-relative:page">
              <v:fill o:detectmouseclick="t" type="solid" color2="white"/>
              <v:stroke color="#3465a4" joinstyle="round" endcap="flat"/>
              <w10:wrap type="none"/>
            </v:rect>
          </w:pict>
        </mc:Fallback>
      </mc:AlternateContent>
    </w:r>
    <w:r>
      <w:rPr>
        <w:sz w:val="19"/>
      </w:rPr>
      <w:tab/>
      <w:t xml:space="preserve"> SUPPLEMENTAL REPLY MEMORANDUM IN SUPPORT OF PLAINTIFFS' TRO APPLICATION</w:t>
    </w:r>
    <w:r>
      <w:fldChar w:fldCharType="begin"/>
    </w:r>
    <w:r>
      <w:rPr>
        <w:sz w:val="19"/>
      </w:rPr>
      <w:instrText xml:space="preserve">ADVANCE \u14</w:instrText>
    </w:r>
    <w:r>
      <w:rPr>
        <w:sz w:val="19"/>
      </w:rPr>
    </w:r>
    <w:r>
      <w:rPr>
        <w:sz w:val="19"/>
      </w:rPr>
      <w:fldChar w:fldCharType="separate"/>
    </w:r>
    <w:r>
      <w:rPr>
        <w:sz w:val="19"/>
      </w:rPr>
    </w:r>
    <w:r/>
    <w:r>
      <w:rPr>
        <w:sz w:val="19"/>
      </w:rPr>
      <w:fldChar w:fldCharType="end"/>
    </w:r>
    <w:r>
      <w:rPr>
        <w:sz w:val="19"/>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rPr>
        <w:t xml:space="preserve">  </w:t>
      </w:r>
      <w:r>
        <w:rPr/>
        <w:t xml:space="preserve">Because CalPX has advanced the "charge backs" as a new basis for seizing Enron's collateral, Enron is filing a broader [Proposed] Order herewith that would restrain any seizure of Enron's collateral by CalPX, including any seizure purportedly based on "charge backs." </w:t>
      </w:r>
    </w:p>
  </w:footnote>
  <w:footnote w:id="3">
    <w:p>
      <w:pPr>
        <w:pStyle w:val="Normal"/>
        <w:spacing w:before="0" w:after="240"/>
        <w:ind w:firstLine="720" w:end="0"/>
        <w:rPr/>
      </w:pPr>
      <w:r>
        <w:rPr>
          <w:rStyle w:val="FootnoteCharacters"/>
        </w:rPr>
        <w:footnoteRef/>
      </w:r>
      <w:r>
        <w:rPr>
          <w:sz w:val="26"/>
        </w:rPr>
        <w:t xml:space="preserve">  </w:t>
      </w:r>
      <w:r>
        <w:rPr/>
        <w:t>The FERC filing is attached as Exhibit A to the Declaration of Kristen Bird ("Bird Decl."), annexed hereto.</w:t>
      </w:r>
    </w:p>
  </w:footnote>
  <w:footnote w:id="4">
    <w:p>
      <w:pPr>
        <w:pStyle w:val="Normal"/>
        <w:spacing w:before="0" w:after="240"/>
        <w:ind w:firstLine="720" w:end="0"/>
        <w:rPr/>
      </w:pPr>
      <w:r>
        <w:rPr>
          <w:rStyle w:val="FootnoteCharacters"/>
        </w:rPr>
        <w:footnoteRef/>
      </w:r>
      <w:r>
        <w:rPr>
          <w:sz w:val="26"/>
        </w:rPr>
        <w:t xml:space="preserve">  </w:t>
      </w:r>
      <w:r>
        <w:rPr/>
        <w:t xml:space="preserve"> </w:t>
      </w:r>
      <w:r>
        <w:rPr/>
        <w:t>The "charge back" invoice threatened in CalPX's opposition has not arrived as of this filing.  Because CalPX relies on the threat of the invoice, however, Enron will address the merits of CalPX's reliance on "charge backs" to justify its prior draws on Enron's letters of credit.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
              <wp:simplePos x="0" y="0"/>
              <wp:positionH relativeFrom="column">
                <wp:align>left</wp:align>
              </wp:positionH>
              <wp:positionV relativeFrom="line">
                <wp:posOffset>635</wp:posOffset>
              </wp:positionV>
              <wp:extent cx="5943600" cy="8711565"/>
              <wp:effectExtent l="0" t="0" r="0" b="0"/>
              <wp:wrapNone/>
              <wp:docPr id="1" name="Frame2"/>
              <a:graphic xmlns:a="http://schemas.openxmlformats.org/drawingml/2006/main">
                <a:graphicData uri="http://schemas.microsoft.com/office/word/2010/wordprocessingShape">
                  <wps:wsp>
                    <wps:cNvSpPr txBox="1"/>
                    <wps:spPr>
                      <a:xfrm>
                        <a:off x="0" y="0"/>
                        <a:ext cx="5943600" cy="8711565"/>
                      </a:xfrm>
                      <a:prstGeom prst="rect"/>
                      <a:solidFill>
                        <a:srgbClr val="FFFFFF"/>
                      </a:solidFill>
                    </wps:spPr>
                    <wps:txbx>
                      <w:txbxContent>
                        <w:p>
                          <w:pPr>
                            <w:pStyle w:val="Normal"/>
                            <w:tabs>
                              <w:tab w:val="clear" w:pos="720"/>
                              <w:tab w:val="right" w:pos="-216" w:leader="none"/>
                            </w:tabs>
                            <w:spacing w:lineRule="exact" w:line="480"/>
                            <w:ind w:start="-807" w:end="0"/>
                            <w:rPr/>
                          </w:pPr>
                          <w:r>
                            <w:rPr/>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rPr/>
                          </w:pPr>
                          <w:r>
                            <w:rPr/>
                          </w:r>
                        </w:p>
                      </w:txbxContent>
                    </wps:txbx>
                    <wps:bodyPr anchor="t" lIns="0" tIns="0" rIns="0" bIns="0">
                      <a:noAutofit/>
                    </wps:bodyPr>
                  </wps:wsp>
                </a:graphicData>
              </a:graphic>
            </wp:anchor>
          </w:drawing>
        </mc:Choice>
        <mc:Fallback>
          <w:pict>
            <v:rect style="position:absolute;rotation:-0;width:468pt;height:685.9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pPr>
                    <w:r>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4">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5">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6">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mirrorMargins/>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2001-02-08T17:21:00Z</dcterms:created>
  <dc:creator/>
  <dc:description/>
  <dc:language>en-CA</dc:language>
  <cp:lastModifiedBy>Systems Engineer</cp:lastModifiedBy>
  <dcterms:modified xsi:type="dcterms:W3CDTF">2001-02-08T17:21:00Z</dcterms:modified>
  <cp:revision>3</cp:revision>
  <dc:subject/>
  <dc:title>QUINN EMANUEL URQUHART OLIVER &amp; HEDGES, LLP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property>
  <property fmtid="{D5CDD505-2E9C-101B-9397-08002B2CF9AE}" pid="15" name="Matter No.">
    <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