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August 20, 2001</w:t>
      </w:r>
    </w:p>
    <w:p>
      <w:pPr>
        <w:pStyle w:val="Normal"/>
        <w:rPr>
          <w:sz w:val="24"/>
        </w:rPr>
      </w:pPr>
      <w:r>
        <w:rPr>
          <w:sz w:val="24"/>
        </w:rPr>
      </w:r>
    </w:p>
    <w:p>
      <w:pPr>
        <w:pStyle w:val="Normal"/>
        <w:rPr>
          <w:sz w:val="24"/>
        </w:rPr>
      </w:pPr>
      <w:r>
        <w:rPr>
          <w:sz w:val="24"/>
        </w:rPr>
        <w:t>Mr. John H. Shafer</w:t>
      </w:r>
    </w:p>
    <w:p>
      <w:pPr>
        <w:pStyle w:val="Normal"/>
        <w:rPr>
          <w:sz w:val="24"/>
        </w:rPr>
      </w:pPr>
      <w:r>
        <w:rPr>
          <w:sz w:val="24"/>
        </w:rPr>
        <w:t>Vice President</w:t>
      </w:r>
    </w:p>
    <w:p>
      <w:pPr>
        <w:pStyle w:val="Normal"/>
        <w:rPr>
          <w:sz w:val="24"/>
        </w:rPr>
      </w:pPr>
      <w:r>
        <w:rPr>
          <w:sz w:val="24"/>
        </w:rPr>
        <w:t>Enron Transportation Services Company</w:t>
      </w:r>
    </w:p>
    <w:p>
      <w:pPr>
        <w:pStyle w:val="Normal"/>
        <w:rPr>
          <w:sz w:val="24"/>
        </w:rPr>
      </w:pPr>
      <w:r>
        <w:rPr>
          <w:sz w:val="24"/>
        </w:rPr>
        <w:t>PO Box 1188</w:t>
      </w:r>
    </w:p>
    <w:p>
      <w:pPr>
        <w:pStyle w:val="Normal"/>
        <w:rPr>
          <w:sz w:val="24"/>
        </w:rPr>
      </w:pPr>
      <w:r>
        <w:rPr>
          <w:sz w:val="24"/>
        </w:rPr>
        <w:t>Houston, Texas  77251</w:t>
      </w:r>
    </w:p>
    <w:p>
      <w:pPr>
        <w:pStyle w:val="Normal"/>
        <w:rPr>
          <w:sz w:val="24"/>
        </w:rPr>
      </w:pPr>
      <w:r>
        <w:rPr>
          <w:sz w:val="24"/>
        </w:rPr>
      </w:r>
    </w:p>
    <w:p>
      <w:pPr>
        <w:pStyle w:val="Normal"/>
        <w:rPr>
          <w:sz w:val="24"/>
        </w:rPr>
      </w:pPr>
      <w:r>
        <w:rPr>
          <w:sz w:val="24"/>
        </w:rPr>
        <w:t>Re:</w:t>
        <w:tab/>
        <w:t>Sun Devil Project</w:t>
      </w:r>
    </w:p>
    <w:p>
      <w:pPr>
        <w:pStyle w:val="Normal"/>
        <w:rPr>
          <w:sz w:val="24"/>
        </w:rPr>
      </w:pPr>
      <w:r>
        <w:rPr>
          <w:sz w:val="24"/>
        </w:rPr>
      </w:r>
    </w:p>
    <w:p>
      <w:pPr>
        <w:pStyle w:val="Normal"/>
        <w:rPr>
          <w:sz w:val="24"/>
        </w:rPr>
      </w:pPr>
      <w:r>
        <w:rPr>
          <w:sz w:val="24"/>
        </w:rPr>
        <w:t>Dear John:</w:t>
      </w:r>
    </w:p>
    <w:p>
      <w:pPr>
        <w:pStyle w:val="Normal"/>
        <w:rPr>
          <w:sz w:val="24"/>
        </w:rPr>
      </w:pPr>
      <w:r>
        <w:rPr>
          <w:sz w:val="24"/>
        </w:rPr>
      </w:r>
    </w:p>
    <w:p>
      <w:pPr>
        <w:pStyle w:val="Normal"/>
        <w:rPr>
          <w:sz w:val="24"/>
        </w:rPr>
      </w:pPr>
      <w:r>
        <w:rPr>
          <w:sz w:val="24"/>
        </w:rPr>
        <w:t>In response to your call on August 16, 2001, let me say that we are pleased that you have considered ENSR to be an early and integral part of your project planning process.  Working together in this fashion will help us, as a team, combine our resources as we propose to do on the EAMR/ENSR venture.  This is a nice opportunity for us to try this venture out.</w:t>
      </w:r>
    </w:p>
    <w:p>
      <w:pPr>
        <w:pStyle w:val="Normal"/>
        <w:rPr>
          <w:sz w:val="24"/>
        </w:rPr>
      </w:pPr>
      <w:r>
        <w:rPr>
          <w:sz w:val="24"/>
        </w:rPr>
      </w:r>
    </w:p>
    <w:p>
      <w:pPr>
        <w:pStyle w:val="Normal"/>
        <w:rPr>
          <w:sz w:val="24"/>
        </w:rPr>
      </w:pPr>
      <w:r>
        <w:rPr>
          <w:sz w:val="24"/>
        </w:rPr>
        <w:t>ENSR has a wealth of FERC and other pipeline project experience in the southwestern part of the U.S., including the TransColorado Gas Transmission Project, Southern Trails Pipeline Project, TransWestern’s Red Rock Mainline Expansion Project, MAPCO Four Corners Pipeline Loop Project, MAPCO Rocky Mountain Loop Project, and the ongoing El Paso Line Nos. 2000, 31107, 1903, and 1904 (All American Pipeline) Conversion Projects to name a few.    Our Ft. Collins, Colorado office will have the lead for this project, with Mr. Scott Patti serving as the project manager in that office for ENSR.   Mr. Schmidt’s involvement can be dictated by Enron, but at this point the Ft. Collins office is fully staffed and capable of managing this work, and we would plan to involve Mr. Schmidt in an advisory and final review capacity..</w:t>
      </w:r>
    </w:p>
    <w:p>
      <w:pPr>
        <w:pStyle w:val="Normal"/>
        <w:rPr>
          <w:sz w:val="24"/>
        </w:rPr>
      </w:pPr>
      <w:r>
        <w:rPr>
          <w:sz w:val="24"/>
        </w:rPr>
      </w:r>
    </w:p>
    <w:p>
      <w:pPr>
        <w:pStyle w:val="Normal"/>
        <w:rPr>
          <w:sz w:val="24"/>
        </w:rPr>
      </w:pPr>
      <w:r>
        <w:rPr>
          <w:sz w:val="24"/>
        </w:rPr>
        <w:t>ENSR will complete a desk top project review, identify scoping issues and recommendations, and summarize the regulatory requirements, siting constraints, and routing issues in a briefing report.  This report will describe the agencies involved and their expected requirements, along with  a strategy to obtain the necessary approvals in a timely manner.  ENSR will also list the Non-Governmental Organizations (NGOs) and their potential involvement and provide appropriate recommendations. We will also develop and  recommend a project schedule and provide suggestions as to how to streamline the process as much as possible to meet your internal customer needs.  We expect that after this study is completed, ENSR can assist you in developing a project schedule and environmental strategy that incorporates all the information collected.</w:t>
      </w:r>
    </w:p>
    <w:p>
      <w:pPr>
        <w:pStyle w:val="Normal"/>
        <w:rPr>
          <w:sz w:val="24"/>
        </w:rPr>
      </w:pPr>
      <w:r>
        <w:rPr>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sz w:val="24"/>
        </w:rPr>
      </w:pPr>
      <w:r>
        <w:rPr>
          <w:sz w:val="24"/>
        </w:rPr>
        <w:t>It is ENSR’s experience that the following issues will be the focus of the siting/scoping analysis:</w:t>
      </w:r>
    </w:p>
    <w:p>
      <w:pPr>
        <w:pStyle w:val="Normal"/>
        <w:rPr>
          <w:sz w:val="24"/>
        </w:rPr>
      </w:pPr>
      <w:r>
        <w:rPr>
          <w:sz w:val="24"/>
        </w:rPr>
      </w:r>
    </w:p>
    <w:p>
      <w:pPr>
        <w:pStyle w:val="Normal"/>
        <w:numPr>
          <w:ilvl w:val="0"/>
          <w:numId w:val="2"/>
        </w:numPr>
        <w:rPr>
          <w:sz w:val="24"/>
        </w:rPr>
      </w:pPr>
      <w:r>
        <w:rPr>
          <w:sz w:val="24"/>
        </w:rPr>
        <w:t xml:space="preserve">Cultural Resources/Native American Concerns:  This area of the southwest is rife with cultural resources concerns and Native American lands issues.  ENSR will identify the tribal interests, where they have historically leaned with project development and a recommended strategy that includes using locals such as Ed Peck to assist Enron with tribal land issues. Involving all potentially interested and affected levels of Navajo Nation government early in the process is key.  Our experience has shown that individual Chapters and Agencies can feel un-represented  by the central Tribal government in Window Rock.  Additionally, the Navajo Nation has its own governmental agencies, which parallel many state agencies in terms of function and requirements, including the Navajo Environmental Protection Agency and Division of Natural Resources. </w:t>
      </w:r>
    </w:p>
    <w:p>
      <w:pPr>
        <w:pStyle w:val="Normal"/>
        <w:numPr>
          <w:ilvl w:val="0"/>
          <w:numId w:val="2"/>
        </w:numPr>
        <w:rPr>
          <w:sz w:val="24"/>
        </w:rPr>
      </w:pPr>
      <w:r>
        <w:rPr>
          <w:sz w:val="24"/>
        </w:rPr>
        <w:t>Ecological Issues:  The Nature Conservancy is very active in Arizona, having completed two ecological habitat characterizations in the project area and developing a third.  ENSR’s ecologists would contact TNC scientists familiar with this project area to develop a strategy that will utilize the TNC expertise and contacts to develop not only a first rate study team for routing and survey, but also utilize the local expertise to minimize impacts and develop mitigative measures (including funding studies to fill scientific data gaps on these ecosystems).</w:t>
      </w:r>
    </w:p>
    <w:p>
      <w:pPr>
        <w:pStyle w:val="Normal"/>
        <w:numPr>
          <w:ilvl w:val="0"/>
          <w:numId w:val="2"/>
        </w:numPr>
        <w:rPr>
          <w:sz w:val="24"/>
        </w:rPr>
      </w:pPr>
      <w:r>
        <w:rPr>
          <w:sz w:val="24"/>
        </w:rPr>
        <w:t>Federal Lands:  ENSR’s prior project experience in the west indicates that this will be a large issue, and the major concern is getting concurrence not only on routing issues, but the studies required to support the NEPA process.  ENSR also has experience in completing the studies necessary to support FERC in completing a single NEPA document that meets U.S. Forest Service,  BLM, and FERC requirements.  In order to expedite approval of any route through Federal lands, the most efficient approach is to follow existing utility corridors to avoid lengthy Resource Management Plan amendments.</w:t>
      </w:r>
    </w:p>
    <w:p>
      <w:pPr>
        <w:pStyle w:val="Normal"/>
        <w:numPr>
          <w:ilvl w:val="0"/>
          <w:numId w:val="2"/>
        </w:numPr>
        <w:rPr>
          <w:sz w:val="24"/>
        </w:rPr>
      </w:pPr>
      <w:r>
        <w:rPr>
          <w:sz w:val="24"/>
        </w:rPr>
        <w:t>EIS or EA:  ENSR completed a greenfield pipeline project for another client (never built) that through pre-application meetings with the FERC, was shown to require only an EA and not an EIS.  Examining the issues thoroughly before meeting with the FERC and minimizing/avoiding landowner and/or public issues will help pave the way to completing an EA versus an EIS.  This is not to say your project can go this route, but it is not out of the realm of possibilities.</w:t>
      </w:r>
    </w:p>
    <w:p>
      <w:pPr>
        <w:pStyle w:val="Normal"/>
        <w:rPr>
          <w:sz w:val="24"/>
        </w:rPr>
      </w:pPr>
      <w:r>
        <w:rPr>
          <w:sz w:val="24"/>
        </w:rPr>
      </w:r>
    </w:p>
    <w:p>
      <w:pPr>
        <w:pStyle w:val="Heading2"/>
        <w:ind w:hanging="0" w:start="0"/>
        <w:rPr/>
      </w:pPr>
      <w:r>
        <w:rPr/>
        <w:t>Project Scope</w:t>
      </w:r>
    </w:p>
    <w:p>
      <w:pPr>
        <w:pStyle w:val="Normal"/>
        <w:rPr>
          <w:sz w:val="24"/>
        </w:rPr>
      </w:pPr>
      <w:r>
        <w:rPr>
          <w:sz w:val="24"/>
        </w:rPr>
      </w:r>
    </w:p>
    <w:p>
      <w:pPr>
        <w:pStyle w:val="Normal"/>
        <w:rPr>
          <w:sz w:val="24"/>
        </w:rPr>
      </w:pPr>
      <w:r>
        <w:rPr>
          <w:sz w:val="24"/>
        </w:rPr>
        <w:t>ENSR will provide an intensive short-term effort to complete the following tasks:</w:t>
      </w:r>
    </w:p>
    <w:p>
      <w:pPr>
        <w:pStyle w:val="Normal"/>
        <w:rPr>
          <w:sz w:val="24"/>
        </w:rPr>
      </w:pPr>
      <w:r>
        <w:rPr>
          <w:sz w:val="24"/>
        </w:rPr>
      </w:r>
    </w:p>
    <w:p>
      <w:pPr>
        <w:pStyle w:val="Normal"/>
        <w:numPr>
          <w:ilvl w:val="0"/>
          <w:numId w:val="3"/>
        </w:numPr>
        <w:rPr>
          <w:sz w:val="24"/>
        </w:rPr>
      </w:pPr>
      <w:r>
        <w:rPr>
          <w:b/>
          <w:sz w:val="24"/>
        </w:rPr>
        <w:t xml:space="preserve">Map review/fatal flaw analysis. </w:t>
      </w:r>
      <w:r>
        <w:rPr>
          <w:sz w:val="24"/>
        </w:rPr>
        <w:t xml:space="preserve"> Using 1:100,000 and 1:250,000 USGS maps and other data sources, ENSR will examine existing published information to identify the major siting constraints along the project corridors as well as where the “softer” but likely permitting issues may be found and how to address them. </w:t>
      </w:r>
    </w:p>
    <w:p>
      <w:pPr>
        <w:pStyle w:val="Normal"/>
        <w:numPr>
          <w:ilvl w:val="0"/>
          <w:numId w:val="3"/>
        </w:numPr>
        <w:rPr>
          <w:sz w:val="24"/>
        </w:rPr>
      </w:pPr>
      <w:r>
        <w:rPr>
          <w:b/>
          <w:sz w:val="24"/>
        </w:rPr>
        <w:t>Agency/NGO consultation.</w:t>
      </w:r>
      <w:r>
        <w:rPr>
          <w:sz w:val="24"/>
        </w:rPr>
        <w:t xml:space="preserve">  Without revealing confidential project information,  ENSR will contact key regulators and NGOs to determine what potential siting constraints exist in this project area, past projects that have been permitted in this area and what the hot issues were, and recommendations on streamlining permitting and regulatory review cycles.</w:t>
      </w:r>
    </w:p>
    <w:p>
      <w:pPr>
        <w:pStyle w:val="Normal"/>
        <w:numPr>
          <w:ilvl w:val="0"/>
          <w:numId w:val="3"/>
        </w:numPr>
        <w:rPr>
          <w:sz w:val="24"/>
        </w:rPr>
      </w:pPr>
      <w:r>
        <w:rPr>
          <w:b/>
          <w:sz w:val="24"/>
        </w:rPr>
        <w:t>Fatal Flaw Analysis/Scoping Issues Report.</w:t>
      </w:r>
      <w:r>
        <w:rPr>
          <w:sz w:val="24"/>
        </w:rPr>
        <w:t xml:space="preserve">  Using the information compiled in tasks 1 and 2, ENSR will generate a brief report that provides the siting constraints and recommendations as they affect the potential project corridors.  We will list the required permits, reviews, and agency notifications and a brief summary of the required studies and ideas for streamlining these processes.   ENSR will also list the NGOs that this project will have to contend with and what their major focus/issues will be.  A set of maps depicting the constraint areas will be provided as an appendix, as will contact reports from all contacts made.</w:t>
      </w:r>
    </w:p>
    <w:p>
      <w:pPr>
        <w:pStyle w:val="Normal"/>
        <w:rPr>
          <w:b/>
          <w:sz w:val="24"/>
        </w:rPr>
      </w:pPr>
      <w:r>
        <w:rPr>
          <w:b/>
          <w:sz w:val="24"/>
        </w:rPr>
      </w:r>
    </w:p>
    <w:p>
      <w:pPr>
        <w:pStyle w:val="Heading2"/>
        <w:ind w:hanging="0" w:start="0"/>
        <w:rPr/>
      </w:pPr>
      <w:r>
        <w:rPr/>
        <w:t>Costs</w:t>
      </w:r>
    </w:p>
    <w:p>
      <w:pPr>
        <w:pStyle w:val="Normal"/>
        <w:rPr>
          <w:sz w:val="24"/>
        </w:rPr>
      </w:pPr>
      <w:r>
        <w:rPr>
          <w:sz w:val="24"/>
        </w:rPr>
      </w:r>
    </w:p>
    <w:p>
      <w:pPr>
        <w:pStyle w:val="Normal"/>
        <w:rPr>
          <w:sz w:val="24"/>
        </w:rPr>
      </w:pPr>
      <w:r>
        <w:rPr>
          <w:sz w:val="24"/>
        </w:rPr>
        <w:t xml:space="preserve">ENSR estimates that the proposed effort can be completed on a time and materials basis for approximately $8,500.  This assumes that there will be no travel, no field route review, no meetings, and  no GIS data base development or GIS analysis. </w:t>
      </w:r>
    </w:p>
    <w:p>
      <w:pPr>
        <w:pStyle w:val="Heading2"/>
        <w:ind w:hanging="0" w:start="0"/>
        <w:rPr>
          <w:sz w:val="24"/>
        </w:rPr>
      </w:pPr>
      <w:r>
        <w:rPr>
          <w:sz w:val="24"/>
        </w:rPr>
      </w:r>
    </w:p>
    <w:p>
      <w:pPr>
        <w:pStyle w:val="Heading2"/>
        <w:ind w:hanging="0" w:start="0"/>
        <w:rPr/>
      </w:pPr>
      <w:r>
        <w:rPr/>
        <w:t>Schedule</w:t>
      </w:r>
    </w:p>
    <w:p>
      <w:pPr>
        <w:pStyle w:val="Normal"/>
        <w:rPr>
          <w:sz w:val="24"/>
        </w:rPr>
      </w:pPr>
      <w:r>
        <w:rPr>
          <w:sz w:val="24"/>
        </w:rPr>
      </w:r>
    </w:p>
    <w:p>
      <w:pPr>
        <w:pStyle w:val="Normal"/>
        <w:rPr>
          <w:sz w:val="24"/>
        </w:rPr>
      </w:pPr>
      <w:r>
        <w:rPr>
          <w:sz w:val="24"/>
        </w:rPr>
        <w:t>ENSR is prepared to start this project immediately upon award from Enron.  We would need to have an initial teleconference to discuss what contacts have already been made, if more detailed maps exist and how to get copies of those, and a schedule for completion of the study.  It is anticipated that ENSR can have a draft report ready for review within 3 weeks of the notice to proceed.</w:t>
      </w:r>
    </w:p>
    <w:p>
      <w:pPr>
        <w:pStyle w:val="Normal"/>
        <w:rPr>
          <w:sz w:val="24"/>
        </w:rPr>
      </w:pPr>
      <w:r>
        <w:rPr>
          <w:sz w:val="24"/>
        </w:rPr>
      </w:r>
    </w:p>
    <w:p>
      <w:pPr>
        <w:pStyle w:val="Normal"/>
        <w:rPr>
          <w:sz w:val="24"/>
        </w:rPr>
      </w:pPr>
      <w:r>
        <w:rPr>
          <w:sz w:val="24"/>
        </w:rPr>
        <w:t>We look forward to assisting Enron on this exciting new venture.  We are pleased that we can finally work together again after your transition from ANR to Enron.  We look forward to hearing from you to get started on this project.  In the interim, if you have any questions please contact Scott Patti at (970-493-8878) or me at (850-385-5006).</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Jon Schmidt</w:t>
        <w:tab/>
        <w:tab/>
        <w:tab/>
        <w:tab/>
        <w:tab/>
        <w:tab/>
        <w:tab/>
        <w:t>Scott Patti</w:t>
      </w:r>
    </w:p>
    <w:p>
      <w:pPr>
        <w:pStyle w:val="Normal"/>
        <w:rPr>
          <w:sz w:val="24"/>
        </w:rPr>
      </w:pPr>
      <w:r>
        <w:rPr>
          <w:sz w:val="24"/>
        </w:rPr>
        <w:t>Vice President</w:t>
        <w:tab/>
        <w:tab/>
        <w:tab/>
        <w:tab/>
        <w:tab/>
        <w:tab/>
        <w:tab/>
        <w:t>Senior Project Manager</w:t>
      </w:r>
    </w:p>
    <w:p>
      <w:pPr>
        <w:pStyle w:val="Normal"/>
        <w:rPr>
          <w:sz w:val="24"/>
        </w:rPr>
      </w:pPr>
      <w:r>
        <w:rPr>
          <w:sz w:val="24"/>
        </w:rPr>
      </w:r>
    </w:p>
    <w:p>
      <w:pPr>
        <w:pStyle w:val="Normal"/>
        <w:rPr>
          <w:sz w:val="24"/>
        </w:rPr>
      </w:pPr>
      <w:r>
        <w:rPr>
          <w:sz w:val="24"/>
        </w:rPr>
        <w:t>Cc:</w:t>
        <w:tab/>
        <w:t>R. Sanz, ENSR Ft. Collins</w:t>
      </w:r>
    </w:p>
    <w:p>
      <w:pPr>
        <w:pStyle w:val="Normal"/>
        <w:rPr>
          <w:sz w:val="24"/>
        </w:rPr>
      </w:pPr>
      <w:r>
        <w:rPr>
          <w:sz w:val="24"/>
        </w:rPr>
        <w:tab/>
        <w:t>S. Ellis, ENSR Ft. Collins</w:t>
      </w:r>
    </w:p>
    <w:p>
      <w:pPr>
        <w:pStyle w:val="Normal"/>
        <w:rPr>
          <w:sz w:val="24"/>
        </w:rPr>
      </w:pPr>
      <w:r>
        <w:rPr>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i/>
      </w:rPr>
      <w:t>Mr. John Shafer</w:t>
    </w:r>
    <w:r>
      <w:rPr>
        <w:i/>
      </w:rPr>
      <w:fldChar w:fldCharType="begin"/>
    </w:r>
    <w:r>
      <w:rPr>
        <w:i/>
      </w:rPr>
      <w:instrText xml:space="preserve"> AUTHOR </w:instrText>
    </w:r>
    <w:r>
      <w:rPr>
        <w:i/>
      </w:rPr>
      <w:fldChar w:fldCharType="separate"/>
    </w:r>
    <w:r>
      <w:rPr>
        <w:i/>
      </w:rPr>
      <w:t>jschmidt</w:t>
    </w:r>
    <w:r>
      <w:rPr>
        <w:i/>
      </w:rPr>
      <w:fldChar w:fldCharType="end"/>
    </w:r>
    <w:r>
      <w:rPr>
        <w:i/>
      </w:rPr>
      <w:tab/>
      <w:t xml:space="preserve">Page </w:t>
    </w:r>
    <w:r>
      <w:rPr>
        <w:i/>
      </w:rPr>
      <w:fldChar w:fldCharType="begin"/>
    </w:r>
    <w:r>
      <w:rPr>
        <w:i/>
      </w:rPr>
      <w:instrText xml:space="preserve"> PAGE </w:instrText>
    </w:r>
    <w:r>
      <w:rPr>
        <w:i/>
      </w:rPr>
      <w:fldChar w:fldCharType="separate"/>
    </w:r>
    <w:r>
      <w:rPr>
        <w:i/>
      </w:rPr>
      <w:t>3</w:t>
    </w:r>
    <w:r>
      <w:rPr>
        <w:i/>
      </w:rPr>
      <w:fldChar w:fldCharType="end"/>
    </w:r>
    <w:r>
      <w:rPr>
        <w:i/>
      </w:rPr>
      <w:tab/>
    </w:r>
    <w:r>
      <w:rPr>
        <w:i/>
      </w:rPr>
      <w:fldChar w:fldCharType="begin"/>
    </w:r>
    <w:r>
      <w:rPr>
        <w:i/>
      </w:rPr>
      <w:instrText xml:space="preserve"> DATE \@"M/d/yyyy" </w:instrText>
    </w:r>
    <w:r>
      <w:rPr>
        <w:i/>
      </w:rPr>
      <w:fldChar w:fldCharType="separate"/>
    </w:r>
    <w:r>
      <w:rPr>
        <w:i/>
      </w:rPr>
      <w:t>9/28/2025</w:t>
    </w:r>
    <w:r>
      <w:rPr>
        <w:i/>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2001-08-21T10:28:00Z</dcterms:created>
  <dc:creator>jschmidt</dc:creator>
  <dc:description/>
  <dc:language>en-CA</dc:language>
  <cp:lastModifiedBy>jshafer</cp:lastModifiedBy>
  <cp:lastPrinted>2001-08-21T07:57:00Z</cp:lastPrinted>
  <dcterms:modified xsi:type="dcterms:W3CDTF">2001-08-21T10:28:00Z</dcterms:modified>
  <cp:revision>2</cp:revision>
  <dc:subject/>
  <dc:title>August 20, 2001</dc:title>
</cp:coreProperties>
</file>