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rFonts w:ascii="Times New Roman" w:hAnsi="Times New Roman" w:cs="Times New Roman"/>
          <w:sz w:val="24"/>
        </w:rPr>
      </w:pPr>
      <w:r>
        <w:rPr>
          <w:rFonts w:cs="Times New Roman" w:ascii="Times New Roman" w:hAnsi="Times New Roman"/>
          <w:sz w:val="24"/>
        </w:rPr>
        <w:t>UNITED STATES OF AMERICA</w:t>
      </w:r>
    </w:p>
    <w:p>
      <w:pPr>
        <w:pStyle w:val="Normal"/>
        <w:jc w:val="center"/>
        <w:rPr>
          <w:b/>
        </w:rPr>
      </w:pPr>
      <w:r>
        <w:rPr>
          <w:b/>
        </w:rPr>
        <w:t>FEDERAL ENERGY REGULATORY COMMISSION</w:t>
      </w:r>
    </w:p>
    <w:p>
      <w:pPr>
        <w:pStyle w:val="Normal"/>
        <w:jc w:val="center"/>
        <w:rPr>
          <w:b/>
        </w:rPr>
      </w:pPr>
      <w:r>
        <w:rPr>
          <w:b/>
        </w:rPr>
      </w:r>
    </w:p>
    <w:p>
      <w:pPr>
        <w:pStyle w:val="Normal"/>
        <w:jc w:val="center"/>
        <w:rPr>
          <w:b/>
        </w:rPr>
      </w:pPr>
      <w:r>
        <w:rPr>
          <w:b/>
        </w:rPr>
      </w:r>
    </w:p>
    <w:tbl>
      <w:tblPr>
        <w:tblW w:w="9018" w:type="dxa"/>
        <w:jc w:val="start"/>
        <w:tblInd w:w="0" w:type="dxa"/>
        <w:tblLayout w:type="fixed"/>
        <w:tblCellMar>
          <w:top w:w="0" w:type="dxa"/>
          <w:start w:w="108" w:type="dxa"/>
          <w:bottom w:w="0" w:type="dxa"/>
          <w:end w:w="108" w:type="dxa"/>
        </w:tblCellMar>
      </w:tblPr>
      <w:tblGrid>
        <w:gridCol w:w="5148"/>
        <w:gridCol w:w="756"/>
        <w:gridCol w:w="3114"/>
      </w:tblGrid>
      <w:tr>
        <w:trPr/>
        <w:tc>
          <w:tcPr>
            <w:tcW w:w="5148" w:type="dxa"/>
            <w:tcBorders/>
          </w:tcPr>
          <w:p>
            <w:pPr>
              <w:pStyle w:val="Normal"/>
              <w:rPr>
                <w:b/>
              </w:rPr>
            </w:pPr>
            <w:r>
              <w:rPr>
                <w:b/>
              </w:rPr>
              <w:t>San Diego Gas &amp; Electric Company,</w:t>
            </w:r>
          </w:p>
          <w:p>
            <w:pPr>
              <w:pStyle w:val="Normal"/>
              <w:rPr>
                <w:b/>
              </w:rPr>
            </w:pPr>
            <w:r>
              <w:rPr>
                <w:b/>
              </w:rPr>
            </w:r>
          </w:p>
          <w:p>
            <w:pPr>
              <w:pStyle w:val="Normal"/>
              <w:rPr>
                <w:b/>
              </w:rPr>
            </w:pPr>
            <w:r>
              <w:rPr>
                <w:b/>
              </w:rPr>
              <w:tab/>
              <w:tab/>
              <w:tab/>
              <w:tab/>
              <w:t>Complainant,</w:t>
            </w:r>
          </w:p>
          <w:p>
            <w:pPr>
              <w:pStyle w:val="Normal"/>
              <w:rPr>
                <w:b/>
              </w:rPr>
            </w:pPr>
            <w:r>
              <w:rPr>
                <w:b/>
              </w:rPr>
            </w:r>
          </w:p>
          <w:p>
            <w:pPr>
              <w:pStyle w:val="Normal"/>
              <w:rPr>
                <w:b/>
              </w:rPr>
            </w:pPr>
            <w:r>
              <w:rPr>
                <w:b/>
              </w:rPr>
              <w:tab/>
              <w:tab/>
              <w:tab/>
              <w:t>v.</w:t>
            </w:r>
          </w:p>
          <w:p>
            <w:pPr>
              <w:pStyle w:val="Normal"/>
              <w:rPr>
                <w:b/>
              </w:rPr>
            </w:pPr>
            <w:r>
              <w:rPr>
                <w:b/>
              </w:rPr>
            </w:r>
          </w:p>
          <w:p>
            <w:pPr>
              <w:pStyle w:val="Normal"/>
              <w:rPr>
                <w:b/>
              </w:rPr>
            </w:pPr>
            <w:r>
              <w:rPr>
                <w:b/>
              </w:rPr>
              <w:t>Sellers of Energy and Ancillary Service</w:t>
            </w:r>
          </w:p>
          <w:p>
            <w:pPr>
              <w:pStyle w:val="Normal"/>
              <w:rPr>
                <w:b/>
              </w:rPr>
            </w:pPr>
            <w:r>
              <w:rPr>
                <w:b/>
              </w:rPr>
              <w:t>Into Markets Operated by the California Independent System Operator</w:t>
            </w:r>
          </w:p>
          <w:p>
            <w:pPr>
              <w:pStyle w:val="Normal"/>
              <w:rPr>
                <w:b/>
              </w:rPr>
            </w:pPr>
            <w:r>
              <w:rPr>
                <w:b/>
              </w:rPr>
              <w:t>Corporation and the California Power</w:t>
            </w:r>
          </w:p>
          <w:p>
            <w:pPr>
              <w:pStyle w:val="Normal"/>
              <w:rPr>
                <w:b/>
              </w:rPr>
            </w:pPr>
            <w:r>
              <w:rPr>
                <w:b/>
              </w:rPr>
              <w:t>Exchange,</w:t>
            </w:r>
          </w:p>
          <w:p>
            <w:pPr>
              <w:pStyle w:val="Normal"/>
              <w:rPr>
                <w:b/>
              </w:rPr>
            </w:pPr>
            <w:r>
              <w:rPr>
                <w:b/>
              </w:rPr>
            </w:r>
          </w:p>
          <w:p>
            <w:pPr>
              <w:pStyle w:val="Normal"/>
              <w:rPr>
                <w:b/>
              </w:rPr>
            </w:pPr>
            <w:r>
              <w:rPr>
                <w:b/>
              </w:rPr>
              <w:tab/>
              <w:tab/>
              <w:tab/>
              <w:tab/>
              <w:t>Respondents</w:t>
            </w:r>
          </w:p>
          <w:p>
            <w:pPr>
              <w:pStyle w:val="Normal"/>
              <w:rPr>
                <w:b/>
              </w:rPr>
            </w:pPr>
            <w:r>
              <w:rPr>
                <w:b/>
              </w:rPr>
            </w:r>
          </w:p>
          <w:p>
            <w:pPr>
              <w:pStyle w:val="Normal"/>
              <w:rPr>
                <w:b/>
              </w:rPr>
            </w:pPr>
            <w:r>
              <w:rPr>
                <w:b/>
              </w:rPr>
              <w:t>Investigation of Practices of the California</w:t>
            </w:r>
          </w:p>
          <w:p>
            <w:pPr>
              <w:pStyle w:val="Normal"/>
              <w:rPr>
                <w:b/>
              </w:rPr>
            </w:pPr>
            <w:r>
              <w:rPr>
                <w:b/>
              </w:rPr>
              <w:t>Independent  System Operator and the</w:t>
            </w:r>
          </w:p>
          <w:p>
            <w:pPr>
              <w:pStyle w:val="Normal"/>
              <w:rPr>
                <w:b/>
              </w:rPr>
            </w:pPr>
            <w:r>
              <w:rPr>
                <w:b/>
              </w:rPr>
              <w:t>California Power Exchange</w:t>
            </w:r>
          </w:p>
          <w:p>
            <w:pPr>
              <w:pStyle w:val="Normal"/>
              <w:rPr>
                <w:b/>
              </w:rPr>
            </w:pPr>
            <w:r>
              <w:rPr>
                <w:b/>
              </w:rPr>
              <w:t>____________________________________</w:t>
            </w:r>
          </w:p>
        </w:tc>
        <w:tc>
          <w:tcPr>
            <w:tcW w:w="756" w:type="dxa"/>
            <w:tcBorders/>
          </w:tcPr>
          <w:p>
            <w:pPr>
              <w:pStyle w:val="Normal"/>
              <w:rPr>
                <w:b/>
              </w:rPr>
            </w:pPr>
            <w:r>
              <w:rPr>
                <w:b/>
              </w:rPr>
              <w:t>)</w:t>
            </w:r>
          </w:p>
          <w:p>
            <w:pPr>
              <w:pStyle w:val="Normal"/>
              <w:rPr>
                <w:b/>
              </w:rPr>
            </w:pPr>
            <w:r>
              <w:rPr>
                <w:b/>
              </w:rPr>
              <w:t>)</w:t>
              <w:br/>
              <w:t>)</w:t>
              <w:br/>
              <w:t>)</w:t>
              <w:br/>
              <w:t>)</w:t>
              <w:br/>
              <w:t>)</w:t>
              <w:br/>
              <w:t>)</w:t>
              <w:br/>
              <w:t>)</w:t>
              <w:br/>
              <w:t>)</w:t>
              <w:br/>
              <w:t>)</w:t>
              <w:br/>
              <w:t>)</w:t>
              <w:br/>
              <w:t>)</w:t>
              <w:br/>
              <w:t>)</w:t>
            </w:r>
          </w:p>
          <w:p>
            <w:pPr>
              <w:pStyle w:val="Normal"/>
              <w:rPr>
                <w:b/>
              </w:rPr>
            </w:pPr>
            <w:r>
              <w:rPr>
                <w:b/>
              </w:rPr>
              <w:t>)</w:t>
            </w:r>
          </w:p>
          <w:p>
            <w:pPr>
              <w:pStyle w:val="Normal"/>
              <w:rPr>
                <w:b/>
              </w:rPr>
            </w:pPr>
            <w:r>
              <w:rPr>
                <w:b/>
              </w:rPr>
              <w:t>)</w:t>
            </w:r>
          </w:p>
          <w:p>
            <w:pPr>
              <w:pStyle w:val="Normal"/>
              <w:rPr>
                <w:b/>
              </w:rPr>
            </w:pPr>
            <w:r>
              <w:rPr>
                <w:b/>
              </w:rPr>
              <w:t>)</w:t>
            </w:r>
          </w:p>
          <w:p>
            <w:pPr>
              <w:pStyle w:val="Normal"/>
              <w:rPr>
                <w:b/>
              </w:rPr>
            </w:pPr>
            <w:r>
              <w:rPr>
                <w:b/>
              </w:rPr>
              <w:t>)</w:t>
            </w:r>
          </w:p>
        </w:tc>
        <w:tc>
          <w:tcPr>
            <w:tcW w:w="3114" w:type="dxa"/>
            <w:tcBorders/>
          </w:tcPr>
          <w:p>
            <w:pPr>
              <w:pStyle w:val="Normal"/>
              <w:rPr>
                <w:b/>
              </w:rPr>
            </w:pPr>
            <w:r>
              <w:rPr>
                <w:b/>
              </w:rPr>
              <w:t>Docket No. EL00-95-045</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Docket No. EL00-98-042</w:t>
            </w:r>
          </w:p>
        </w:tc>
      </w:tr>
    </w:tbl>
    <w:p>
      <w:pPr>
        <w:pStyle w:val="Normal"/>
        <w:rPr>
          <w:b/>
        </w:rPr>
      </w:pPr>
      <w:r>
        <w:rPr>
          <w:b/>
        </w:rPr>
      </w:r>
    </w:p>
    <w:p>
      <w:pPr>
        <w:pStyle w:val="Heading1"/>
        <w:spacing w:before="0" w:after="0"/>
        <w:ind w:hanging="0" w:start="0"/>
        <w:jc w:val="center"/>
        <w:rPr>
          <w:rFonts w:ascii="Times New Roman" w:hAnsi="Times New Roman" w:cs="Times New Roman"/>
          <w:sz w:val="24"/>
        </w:rPr>
      </w:pPr>
      <w:r>
        <w:rPr>
          <w:rFonts w:cs="Times New Roman" w:ascii="Times New Roman" w:hAnsi="Times New Roman"/>
          <w:sz w:val="24"/>
        </w:rPr>
        <w:t>SUMMARY OF</w:t>
      </w:r>
    </w:p>
    <w:p>
      <w:pPr>
        <w:pStyle w:val="Heading1"/>
        <w:spacing w:before="0" w:after="0"/>
        <w:ind w:hanging="0" w:start="0"/>
        <w:jc w:val="center"/>
        <w:rPr>
          <w:rFonts w:ascii="Times New Roman" w:hAnsi="Times New Roman" w:cs="Times New Roman"/>
          <w:sz w:val="24"/>
        </w:rPr>
      </w:pPr>
      <w:r>
        <w:rPr>
          <w:rFonts w:cs="Times New Roman" w:ascii="Times New Roman" w:hAnsi="Times New Roman"/>
          <w:sz w:val="24"/>
        </w:rPr>
        <w:t>PREPARED DIRECT TESTIMONY AND EXHIBITS OF</w:t>
      </w:r>
    </w:p>
    <w:p>
      <w:pPr>
        <w:pStyle w:val="Normal"/>
        <w:jc w:val="center"/>
        <w:rPr>
          <w:b/>
        </w:rPr>
      </w:pPr>
      <w:r>
        <w:rPr>
          <w:b/>
        </w:rPr>
        <w:t>JAMES A. TRACY</w:t>
      </w:r>
    </w:p>
    <w:p>
      <w:pPr>
        <w:pStyle w:val="Normal"/>
        <w:jc w:val="center"/>
        <w:rPr>
          <w:b/>
        </w:rPr>
      </w:pPr>
      <w:r>
        <w:rPr>
          <w:b/>
        </w:rPr>
        <w:t>ON BEHALF OF</w:t>
      </w:r>
    </w:p>
    <w:p>
      <w:pPr>
        <w:pStyle w:val="Normal"/>
        <w:jc w:val="center"/>
        <w:rPr>
          <w:b/>
        </w:rPr>
      </w:pPr>
      <w:r>
        <w:rPr>
          <w:b/>
        </w:rPr>
        <w:t>THE SACRAMENTO MUNICIPAL UTILITY DISTRICT</w:t>
      </w:r>
    </w:p>
    <w:p>
      <w:pPr>
        <w:pStyle w:val="Normal"/>
        <w:rPr>
          <w:b/>
        </w:rPr>
      </w:pPr>
      <w:r>
        <w:rPr>
          <w:b/>
        </w:rPr>
      </w:r>
    </w:p>
    <w:p>
      <w:pPr>
        <w:pStyle w:val="Normal"/>
        <w:spacing w:lineRule="auto" w:line="480"/>
        <w:rPr/>
      </w:pPr>
      <w:r>
        <w:rPr/>
        <w:tab/>
        <w:t xml:space="preserve">In his Prepared Direct testimony (Exhibit SMD-1), Mr. Tracy describes the Sacramento Municipal Utility District’s (“SMUD”) position regarding sales made pursuant to the Orders issued by the U.S. Department of Energy (“DOE”) pursuant to Section 202(c) of the Federal Power Act on December 14, 2000 and January 11, 2001, and SMUD’s offsetting costs for the purposes of calculating its refund liability in the second phase of this proceeding.  Mr. Tracy’s testimony is provided in the event SMUD is determined liable for the payment of refunds as a seller in the spot energy markets operated by the California Power Exchange (“PX”) and California Independent System Operator “(ISO”) during the period from October 2, 2000 through June 20, 2001.  </w:t>
      </w:r>
    </w:p>
    <w:p>
      <w:pPr>
        <w:pStyle w:val="Normal"/>
        <w:spacing w:lineRule="auto" w:line="480"/>
        <w:rPr/>
      </w:pPr>
      <w:r>
        <w:rPr/>
        <w:tab/>
        <w:t xml:space="preserve">Using the ISO’s calculation of the mitigated market clearing price (“MMCP”), Mr. Tracy addresses SMUD’s offsetting replacement costs for sales made to the PX and ISO out of its hydroelectric generation and of purchase power contracts for the hours when the price of SMUD’s spot energy market sales exceeded the MMCP price for such hours.  He explains that as a load-serving entity (“LSE”), SMUD experienced hydroelectric generation replacement costs that were incurred to replace hydro generation which would have been used to serve SMUD’s native load customers but was instead used to meet the ISO’s urgent need.  Mr. Tracy further explains that these replacement costs, as well as SMUD’s purchase power costs for sales made to the ISO and PX of excess energy from purchase power contracts, should offset any application of the MMCP to SMUD’s hourly sales of excess power to the ISO and PX during the relevant period.    </w:t>
      </w:r>
    </w:p>
    <w:p>
      <w:pPr>
        <w:pStyle w:val="Normal"/>
        <w:spacing w:lineRule="auto" w:line="480"/>
        <w:rPr/>
      </w:pPr>
      <w:r>
        <w:rPr/>
        <w:tab/>
        <w:t>Mr. Tracy takes strong exception to the ISO’s criteria, presented by its witness Ms. O’Neill (Exhibit No. ISO-10), for determining which sales qualify as those made under the DOE Orders and are, therefore, outside the scope of the refund inquiry in this proceeding.  Mr. Tracy explains that contrary to Ms. O’Neill’s suggestion, the ISO initiated calls with transmission owners and LSEs following issuance of the DOE orders in order to request that the parties sell available energy to the ISO, and the ISO frequently reminded the call participants of their obligation to make such excess energy available to the ISO under the DOE Orders.  Mr. Tracy introduces the Affidavit of Douglas H. Calvert (Exhibit No. SMD-3), which provides the factual circumstances surrounding the ISO’s invocation of authority under the DOE Orders and SMUD’s spot market sales to the ISO under the DOE Orders.  Mr. Tracy explains that the ISO held daily conference calls with LSEs and TOs to apprise them of reliability and curtailment issues and to request participants to sell available energy to the ISO during emergency periods.  He further explains that although the ISO states in its Certifications issued under the DOE Orders that a copy of the Certifications were provided to potential sellers by fax or e-mail, the ISO did not provide SMUD a copy of the Certifications in this manner.  Instead, SMUD relied upon the daily calls for such notification, and it was understood by PG&amp;E and SMUD that all sales by SMUD of spot energy to the ISO on days covered by the ISO’s 34 Certifications were intended to be made pursuant to the DOE Order.  This is particularly true in light of SMUD’s concerns over the ISO’s credibility and ability to make payment following a “sleeve” transaction, which Mr. Tracy describes in his Direct Testimony.</w:t>
      </w:r>
    </w:p>
    <w:p>
      <w:pPr>
        <w:pStyle w:val="Normal"/>
        <w:spacing w:lineRule="auto" w:line="480"/>
        <w:rPr/>
      </w:pPr>
      <w:r>
        <w:rPr/>
        <w:tab/>
        <w:t xml:space="preserve">Exhibit No. SMD-5 to Mr. Tracy’s Prepared Direct Testimony is a spreadsheet analysis of SMUD’s sales of spot market energy made to the ISO pursuant to the DOE authority over the period December 20, 2001 through February 6, 2001.  The spreadsheet provides an hourly compilation of SMUD’s transactions under the DOE Orders, which totaled 20,483 MWhs over the period at issue in this proceeding.  The amount that the ISO agreed to pay SMUD for the DOE Order sales is $3.7 million.  Mr. Tracy testifies that this entire amount due SMUD by the ISO remains unpaid.  </w:t>
      </w:r>
    </w:p>
    <w:p>
      <w:pPr>
        <w:pStyle w:val="Normal"/>
        <w:spacing w:lineRule="auto" w:line="480"/>
        <w:rPr/>
      </w:pPr>
      <w:r>
        <w:rPr/>
        <w:tab/>
        <w:t xml:space="preserve">Next, Mr. Tracy responds to ISO witness O’Neill’s opinion that only purchases made to the ISO solely by virtue of the DOE Orders, communicated as such by the seller, and noted on the ISO’s out-of-market (“OOM”) sheet, should be excepted from the refund calculation in this proceeding.  He testifies that Ms. O’Neill’s statements in this regard are contrary to the ISO’s own Certifications and practices at the time, and ignore the urgent and critical nature of these transactions.  Mr. Tracy further testify that the result of Ms. O’Neill’s suggestions is to subject SMUD to refund liability for DOE-Order mandated sales, when SMUD has not received payment for those sales in the first instance.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sz w:val="26"/>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2"/>
    </w:rPr>
  </w:style>
  <w:style w:type="paragraph" w:styleId="Heading5">
    <w:name w:val="heading 5"/>
    <w:basedOn w:val="Normal"/>
    <w:next w:val="Normal"/>
    <w:qFormat/>
    <w:pPr>
      <w:numPr>
        <w:ilvl w:val="4"/>
        <w:numId w:val="1"/>
      </w:numPr>
      <w:spacing w:before="240" w:after="60"/>
      <w:outlineLvl w:val="4"/>
    </w:pPr>
    <w:rPr>
      <w:rFonts w:ascii="Arial" w:hAnsi="Arial" w:cs="Arial"/>
      <w:b/>
      <w:i/>
      <w:sz w:val="22"/>
    </w:rPr>
  </w:style>
  <w:style w:type="paragraph" w:styleId="Heading6">
    <w:name w:val="heading 6"/>
    <w:basedOn w:val="Normal"/>
    <w:next w:val="Normal"/>
    <w:qFormat/>
    <w:pPr>
      <w:numPr>
        <w:ilvl w:val="5"/>
        <w:numId w:val="1"/>
      </w:numPr>
      <w:spacing w:before="240" w:after="60"/>
      <w:outlineLvl w:val="5"/>
    </w:pPr>
    <w:rPr>
      <w:rFonts w:ascii="Arial Narrow" w:hAnsi="Arial Narrow" w:cs="Arial Narrow"/>
      <w:b/>
      <w:sz w:val="22"/>
    </w:rPr>
  </w:style>
  <w:style w:type="paragraph" w:styleId="Heading7">
    <w:name w:val="heading 7"/>
    <w:basedOn w:val="Normal"/>
    <w:next w:val="Normal"/>
    <w:qFormat/>
    <w:pPr>
      <w:numPr>
        <w:ilvl w:val="6"/>
        <w:numId w:val="1"/>
      </w:numPr>
      <w:spacing w:before="240" w:after="60"/>
      <w:outlineLvl w:val="6"/>
    </w:pPr>
    <w:rPr>
      <w:rFonts w:ascii="Arial Narrow" w:hAnsi="Arial Narrow" w:cs="Arial Narrow"/>
      <w:b/>
      <w:i/>
      <w:sz w:val="22"/>
    </w:rPr>
  </w:style>
  <w:style w:type="paragraph" w:styleId="Heading8">
    <w:name w:val="heading 8"/>
    <w:basedOn w:val="Normal"/>
    <w:next w:val="Normal"/>
    <w:qFormat/>
    <w:pPr>
      <w:numPr>
        <w:ilvl w:val="7"/>
        <w:numId w:val="1"/>
      </w:numPr>
      <w:spacing w:before="240" w:after="60"/>
      <w:outlineLvl w:val="7"/>
    </w:pPr>
    <w:rPr>
      <w:rFonts w:ascii="Arial Narrow" w:hAnsi="Arial Narrow" w:cs="Arial Narrow"/>
      <w:b/>
      <w:sz w:val="20"/>
    </w:rPr>
  </w:style>
  <w:style w:type="paragraph" w:styleId="Heading9">
    <w:name w:val="heading 9"/>
    <w:basedOn w:val="Normal"/>
    <w:next w:val="Normal"/>
    <w:qFormat/>
    <w:pPr>
      <w:numPr>
        <w:ilvl w:val="8"/>
        <w:numId w:val="1"/>
      </w:numPr>
      <w:spacing w:before="240" w:after="60"/>
      <w:outlineLvl w:val="8"/>
    </w:pPr>
    <w:rPr>
      <w:rFonts w:ascii="Arial Narrow" w:hAnsi="Arial Narrow" w:cs="Arial Narrow"/>
      <w:b/>
      <w:i/>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FootnoteText">
    <w:name w:val="footnote text"/>
    <w:basedOn w:val="Normal"/>
    <w:pPr/>
    <w:rPr>
      <w:sz w:val="20"/>
    </w:rPr>
  </w:style>
  <w:style w:type="paragraph" w:styleId="FileNameHidden">
    <w:name w:val="FileNameHidden"/>
    <w:basedOn w:val="Normal"/>
    <w:qFormat/>
    <w:pPr/>
    <w:rPr>
      <w:vanish/>
      <w:sz w:val="16"/>
      <w:lang w:val="en-CA"/>
    </w:rPr>
  </w:style>
  <w:style w:type="paragraph" w:styleId="FileNameVisible">
    <w:name w:val="FileNameVisible"/>
    <w:basedOn w:val="Normal"/>
    <w:qFormat/>
    <w:pPr/>
    <w:rPr>
      <w:sz w:val="16"/>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2001-11-06T23:24:00Z</dcterms:created>
  <dc:creator>048</dc:creator>
  <dc:description/>
  <dc:language>en-CA</dc:language>
  <cp:lastModifiedBy>048</cp:lastModifiedBy>
  <cp:lastPrinted>2001-11-06T15:03:00Z</cp:lastPrinted>
  <dcterms:modified xsi:type="dcterms:W3CDTF">2001-11-06T23:24:00Z</dcterms:modified>
  <cp:revision>2</cp:revision>
  <dc:subject/>
  <dc:title>UNITED STATES OF AMERICA</dc:title>
</cp:coreProperties>
</file>