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b/>
          <w:bCs/>
          <w:sz w:val="24"/>
          <w:szCs w:val="24"/>
          <w:u w:val="single"/>
        </w:rPr>
      </w:pPr>
      <w:r>
        <w:rPr>
          <w:b/>
          <w:bCs/>
          <w:sz w:val="24"/>
          <w:szCs w:val="24"/>
          <w:u w:val="single"/>
        </w:rPr>
        <w:t>ATTACHMENT C</w:t>
      </w:r>
    </w:p>
    <w:p>
      <w:pPr>
        <w:pStyle w:val="Body"/>
        <w:jc w:val="center"/>
        <w:rPr>
          <w:b/>
          <w:bCs/>
          <w:sz w:val="24"/>
          <w:szCs w:val="24"/>
          <w:u w:val="single"/>
        </w:rPr>
      </w:pPr>
      <w:r>
        <w:rPr>
          <w:b/>
          <w:bCs/>
          <w:sz w:val="24"/>
          <w:szCs w:val="24"/>
          <w:u w:val="single"/>
        </w:rPr>
      </w:r>
    </w:p>
    <w:p>
      <w:pPr>
        <w:pStyle w:val="Body"/>
        <w:jc w:val="center"/>
        <w:rPr>
          <w:sz w:val="24"/>
          <w:szCs w:val="24"/>
        </w:rPr>
      </w:pPr>
      <w:r>
        <w:rPr>
          <w:b/>
          <w:bCs/>
          <w:sz w:val="24"/>
          <w:szCs w:val="24"/>
          <w:u w:val="single"/>
        </w:rPr>
        <w:t>CONFIDENTIAL</w:t>
      </w:r>
    </w:p>
    <w:p>
      <w:pPr>
        <w:pStyle w:val="Body"/>
        <w:jc w:val="center"/>
        <w:rPr>
          <w:sz w:val="24"/>
          <w:szCs w:val="24"/>
        </w:rPr>
      </w:pPr>
      <w:r>
        <w:rPr>
          <w:sz w:val="24"/>
          <w:szCs w:val="24"/>
        </w:rPr>
      </w:r>
    </w:p>
    <w:p>
      <w:pPr>
        <w:pStyle w:val="Body"/>
        <w:jc w:val="center"/>
        <w:rPr>
          <w:sz w:val="24"/>
          <w:szCs w:val="24"/>
        </w:rPr>
      </w:pPr>
      <w:r>
        <w:rPr>
          <w:sz w:val="24"/>
          <w:szCs w:val="24"/>
        </w:rPr>
        <w:t>Enron Power Marketing, Inc.</w:t>
      </w:r>
    </w:p>
    <w:p>
      <w:pPr>
        <w:pStyle w:val="Body"/>
        <w:jc w:val="center"/>
        <w:rPr>
          <w:sz w:val="24"/>
          <w:szCs w:val="24"/>
        </w:rPr>
      </w:pPr>
      <w:r>
        <w:rPr>
          <w:sz w:val="24"/>
          <w:szCs w:val="24"/>
        </w:rPr>
        <w:t>Interconnection Problems</w:t>
      </w:r>
    </w:p>
    <w:p>
      <w:pPr>
        <w:pStyle w:val="Body"/>
        <w:jc w:val="center"/>
        <w:rPr>
          <w:sz w:val="24"/>
          <w:szCs w:val="24"/>
        </w:rPr>
      </w:pPr>
      <w:r>
        <w:rPr>
          <w:sz w:val="24"/>
          <w:szCs w:val="24"/>
        </w:rPr>
        <w:t xml:space="preserve">Gathered in Response to the FERC Staff Data Request </w:t>
      </w:r>
    </w:p>
    <w:p>
      <w:pPr>
        <w:pStyle w:val="Body"/>
        <w:jc w:val="center"/>
        <w:rPr>
          <w:sz w:val="24"/>
          <w:szCs w:val="24"/>
        </w:rPr>
      </w:pPr>
      <w:r>
        <w:rPr>
          <w:sz w:val="24"/>
          <w:szCs w:val="24"/>
        </w:rPr>
        <w:t>Relating to the Investigation of the Bulk Power Markets commenced July 26, 2000</w:t>
      </w:r>
    </w:p>
    <w:p>
      <w:pPr>
        <w:pStyle w:val="Body"/>
        <w:jc w:val="center"/>
        <w:rPr>
          <w:sz w:val="24"/>
          <w:szCs w:val="24"/>
        </w:rPr>
      </w:pPr>
      <w:r>
        <w:rPr>
          <w:sz w:val="24"/>
          <w:szCs w:val="24"/>
        </w:rPr>
        <w:t>(Prepared by Christi Nicolay, Senior Director of Fed. Reg.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eastAsia="Arial" w:cs="Arial"/>
          <w:sz w:val="24"/>
          <w:szCs w:val="24"/>
        </w:rPr>
      </w:pPr>
      <w:r>
        <w:rPr>
          <w:rFonts w:eastAsia="Arial" w:cs="Arial" w:ascii="Arial" w:hAnsi="Arial"/>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eastAsia="Arial" w:cs="Arial"/>
          <w:sz w:val="24"/>
          <w:szCs w:val="24"/>
        </w:rPr>
      </w:pPr>
      <w:r>
        <w:rPr>
          <w:rFonts w:eastAsia="Arial" w:cs="Arial" w:ascii="Arial" w:hAnsi="Arial"/>
          <w:sz w:val="24"/>
          <w:szCs w:val="24"/>
        </w:rPr>
      </w:r>
    </w:p>
    <w:p>
      <w:pPr>
        <w:pStyle w:val="Normal"/>
        <w:numPr>
          <w:ilvl w:val="0"/>
          <w:numId w:val="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720" w:end="0"/>
        <w:jc w:val="both"/>
        <w:rPr/>
      </w:pPr>
      <w:r>
        <w:rPr>
          <w:rFonts w:eastAsia="Arial" w:cs="Arial" w:ascii="Arial" w:hAnsi="Arial"/>
          <w:sz w:val="24"/>
          <w:szCs w:val="24"/>
          <w:u w:val="single"/>
        </w:rPr>
        <w:t>Overview</w:t>
      </w:r>
      <w:r>
        <w:rPr>
          <w:rFonts w:eastAsia="Arial" w:cs="Arial" w:ascii="Arial" w:hAnsi="Arial"/>
          <w:sz w:val="24"/>
          <w:szCs w:val="24"/>
        </w:rPr>
        <w:t xml:space="preserve">:  Enron has interconnected or attempted to interconnect with MidAmerican, Entergy, TVA, Cinergy, Ameren, FP&amp;L, Southern, Detroit Edison, Alliant, and ComEd.  We have had no instances where the timelines approved by the Commission in the </w:t>
      </w:r>
      <w:r>
        <w:rPr>
          <w:rFonts w:eastAsia="Arial" w:cs="Arial" w:ascii="Arial" w:hAnsi="Arial"/>
          <w:i/>
          <w:iCs/>
          <w:sz w:val="24"/>
          <w:szCs w:val="24"/>
        </w:rPr>
        <w:t>Tennessee Power</w:t>
      </w:r>
      <w:r>
        <w:rPr>
          <w:rFonts w:eastAsia="Arial" w:cs="Arial" w:ascii="Arial" w:hAnsi="Arial"/>
          <w:sz w:val="24"/>
          <w:szCs w:val="24"/>
        </w:rPr>
        <w:t xml:space="preserve"> case were followed.  There have been delays in preparing the studies and in returning phone calls or acting on requested revisions to interconnection agreements, unreasonable requirements in the interconnection agreements, and high fees.  I also think it would be helpful for the Commission to ask utilities how physically long it takes to complete a study.  Enron has hired engineers to assist us on the interconnections, and most studies take several days, at most (especially when the utility has the information readily available.  Outside engineers must go to the FERC forms for the information.  </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 w:end="0"/>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360" w:end="0"/>
        <w:jc w:val="both"/>
        <w:rPr>
          <w:rFonts w:ascii="Arial" w:hAnsi="Arial" w:eastAsia="Arial" w:cs="Arial"/>
          <w:sz w:val="24"/>
          <w:szCs w:val="24"/>
        </w:rPr>
      </w:pPr>
      <w:r>
        <w:rPr>
          <w:rFonts w:eastAsia="Arial" w:cs="Arial" w:ascii="Arial" w:hAnsi="Arial"/>
          <w:sz w:val="24"/>
          <w:szCs w:val="24"/>
        </w:rPr>
        <w:tab/>
        <w:t>In addition, few transmission providers have filed policies with the Commission.  Even those that have filed procedures don’t necessarily comply with the time deadlines (although customers are expected to follow the customer deadlines.)  Further, we are required to review each procedure carefully and separately since none of the filed procedures are the same among transmission providers.  Specific examples of problems are included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pPr>
      <w:r>
        <w:rPr>
          <w:rFonts w:eastAsia="Arial" w:cs="Arial" w:ascii="Arial" w:hAnsi="Arial"/>
          <w:sz w:val="24"/>
          <w:szCs w:val="24"/>
        </w:rPr>
        <w:t xml:space="preserve">This summer, TVA told Enron that the cost of the Facilities Study to interconnect a proposed plant at Calvert City would be $750,000 (with a deposit of $100,000) and it would take </w:t>
      </w:r>
      <w:r>
        <w:rPr>
          <w:rFonts w:eastAsia="Arial" w:cs="Arial" w:ascii="Arial" w:hAnsi="Arial"/>
          <w:sz w:val="24"/>
          <w:szCs w:val="24"/>
          <w:u w:val="single"/>
        </w:rPr>
        <w:t>1 ½ years</w:t>
      </w:r>
      <w:r>
        <w:rPr>
          <w:rFonts w:eastAsia="Arial" w:cs="Arial" w:ascii="Arial" w:hAnsi="Arial"/>
          <w:sz w:val="24"/>
          <w:szCs w:val="24"/>
        </w:rPr>
        <w:t xml:space="preserve"> to complete such study.  This is after being in the TVA queue for 1 year already.  Enron developers and generator personnel asked TVA to reduce the cost and to respond in a quicker fashion, but TVA refused.  We have agreed to pay this amount because we do not have much recourse when dealing with TVA.  In addition, TVA’s “Customer Guide” requires a $10,000 non-refundable deposit.  TVA refused to adhere to FERC’s orders in other cases this year that held the deposit should be based on actual costs and </w:t>
      </w:r>
      <w:r>
        <w:rPr>
          <w:rFonts w:eastAsia="Arial" w:cs="Arial" w:ascii="Arial" w:hAnsi="Arial"/>
          <w:sz w:val="24"/>
          <w:szCs w:val="24"/>
          <w:u w:val="single"/>
        </w:rPr>
        <w:t>not</w:t>
      </w:r>
      <w:r>
        <w:rPr>
          <w:rFonts w:eastAsia="Arial" w:cs="Arial" w:ascii="Arial" w:hAnsi="Arial"/>
          <w:sz w:val="24"/>
          <w:szCs w:val="24"/>
        </w:rPr>
        <w:t xml:space="preserve"> “non-refundable.”  TVA said it was “reviewing” its policy.  Attached as Ex. 1a and 1b.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eastAsia="Arial" w:cs="Arial"/>
          <w:sz w:val="24"/>
          <w:szCs w:val="24"/>
        </w:rPr>
      </w:pPr>
      <w:r>
        <w:rPr>
          <w:rFonts w:eastAsia="Arial" w:cs="Arial" w:ascii="Arial" w:hAnsi="Arial"/>
          <w:sz w:val="24"/>
          <w:szCs w:val="24"/>
        </w:rPr>
      </w:r>
    </w:p>
    <w:p>
      <w:pPr>
        <w:pStyle w:val="Normal"/>
        <w:ind w:start="360" w:end="0"/>
        <w:jc w:val="both"/>
        <w:rPr>
          <w:rFonts w:ascii="Arial" w:hAnsi="Arial" w:eastAsia="Arial" w:cs="Arial"/>
          <w:sz w:val="24"/>
          <w:szCs w:val="24"/>
        </w:rPr>
      </w:pPr>
      <w:r>
        <w:rPr>
          <w:rFonts w:eastAsia="Arial" w:cs="Arial" w:ascii="Arial" w:hAnsi="Arial"/>
          <w:sz w:val="24"/>
          <w:szCs w:val="24"/>
        </w:rPr>
        <w:t>High costs:  The cost of upgrades that Enron paid to TVA at Enron’s Gleason plant is appr. $30 million (that Enron will have returned in transmission credits as we reserve transmission with no time value of money added).</w:t>
      </w:r>
    </w:p>
    <w:p>
      <w:pPr>
        <w:pStyle w:val="Normal"/>
        <w:ind w:hanging="720" w:start="720" w:end="0"/>
        <w:jc w:val="both"/>
        <w:rPr>
          <w:rFonts w:ascii="Arial" w:hAnsi="Arial" w:eastAsia="Arial" w:cs="Arial"/>
          <w:sz w:val="24"/>
          <w:szCs w:val="24"/>
        </w:rPr>
      </w:pPr>
      <w:r>
        <w:rPr>
          <w:rFonts w:eastAsia="Arial" w:cs="Arial" w:ascii="Arial" w:hAnsi="Arial"/>
          <w:sz w:val="24"/>
          <w:szCs w:val="24"/>
        </w:rPr>
      </w:r>
    </w:p>
    <w:p>
      <w:pPr>
        <w:pStyle w:val="Normal"/>
        <w:numPr>
          <w:ilvl w:val="0"/>
          <w:numId w:val="3"/>
        </w:numPr>
        <w:tabs>
          <w:tab w:val="clear" w:pos="720"/>
          <w:tab w:val="left" w:pos="0" w:leader="none"/>
        </w:tabs>
        <w:ind w:hanging="360" w:start="720" w:end="0"/>
        <w:jc w:val="both"/>
        <w:rPr>
          <w:rFonts w:ascii="Arial" w:hAnsi="Arial" w:eastAsia="Arial" w:cs="Arial"/>
          <w:sz w:val="24"/>
          <w:szCs w:val="24"/>
        </w:rPr>
      </w:pPr>
      <w:r>
        <w:rPr>
          <w:rFonts w:eastAsia="Arial" w:cs="Arial" w:ascii="Arial" w:hAnsi="Arial"/>
          <w:sz w:val="24"/>
          <w:szCs w:val="24"/>
        </w:rPr>
        <w:t>Detroit Edison has taken well over 60 days to respond to Enron’s system impact study.  Over Due on 7/18/00 and we still have not received it.</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4"/>
        </w:numPr>
        <w:tabs>
          <w:tab w:val="clear" w:pos="720"/>
          <w:tab w:val="left" w:pos="0" w:leader="none"/>
        </w:tabs>
        <w:ind w:hanging="360" w:start="720" w:end="0"/>
        <w:jc w:val="both"/>
        <w:rPr>
          <w:rFonts w:ascii="Arial" w:hAnsi="Arial" w:eastAsia="Arial" w:cs="Arial"/>
          <w:sz w:val="24"/>
          <w:szCs w:val="24"/>
        </w:rPr>
      </w:pPr>
      <w:r>
        <w:rPr>
          <w:rFonts w:eastAsia="Arial" w:cs="Arial" w:ascii="Arial" w:hAnsi="Arial"/>
          <w:sz w:val="24"/>
          <w:szCs w:val="24"/>
        </w:rPr>
        <w:t>Enron has contacted Kim Bruno at FERC about Entergy’s delays in responding to the Facilities Studies.  Ex. 2a and 2b.</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5"/>
        </w:numPr>
        <w:tabs>
          <w:tab w:val="clear" w:pos="720"/>
          <w:tab w:val="left" w:pos="0" w:leader="none"/>
        </w:tabs>
        <w:ind w:hanging="360" w:start="720" w:end="0"/>
        <w:jc w:val="both"/>
        <w:rPr>
          <w:rFonts w:ascii="Arial" w:hAnsi="Arial" w:eastAsia="Arial" w:cs="Arial"/>
          <w:sz w:val="24"/>
          <w:szCs w:val="24"/>
        </w:rPr>
      </w:pPr>
      <w:r>
        <w:rPr>
          <w:rFonts w:eastAsia="Arial" w:cs="Arial" w:ascii="Arial" w:hAnsi="Arial"/>
          <w:sz w:val="24"/>
          <w:szCs w:val="24"/>
        </w:rPr>
        <w:t>Alliant initially stated that it would take 5 months to complete an interconnection study.  After much debate, Alliant reduced the timing to 4 months.  Ex. 3.</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6"/>
        </w:numPr>
        <w:tabs>
          <w:tab w:val="clear" w:pos="720"/>
          <w:tab w:val="left" w:pos="0" w:leader="none"/>
        </w:tabs>
        <w:ind w:hanging="360" w:start="720" w:end="0"/>
        <w:jc w:val="both"/>
        <w:rPr>
          <w:rFonts w:ascii="Arial" w:hAnsi="Arial" w:eastAsia="Arial" w:cs="Arial"/>
          <w:sz w:val="24"/>
          <w:szCs w:val="24"/>
        </w:rPr>
      </w:pPr>
      <w:r>
        <w:rPr>
          <w:rFonts w:eastAsia="Arial" w:cs="Arial" w:ascii="Arial" w:hAnsi="Arial"/>
          <w:sz w:val="24"/>
          <w:szCs w:val="24"/>
        </w:rPr>
        <w:t>Ameren told Enron that it would take 3-4 years to construct an upgrade that Enron’s engineers said would take appr. 7 months to build.  Ex. 4.</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7"/>
        </w:numPr>
        <w:tabs>
          <w:tab w:val="clear" w:pos="720"/>
          <w:tab w:val="left" w:pos="0" w:leader="none"/>
        </w:tabs>
        <w:ind w:hanging="360" w:start="720" w:end="0"/>
        <w:jc w:val="both"/>
        <w:rPr>
          <w:rFonts w:ascii="Arial" w:hAnsi="Arial" w:eastAsia="Arial" w:cs="Arial"/>
          <w:sz w:val="24"/>
          <w:szCs w:val="24"/>
        </w:rPr>
      </w:pPr>
      <w:r>
        <w:rPr>
          <w:rFonts w:eastAsia="Arial" w:cs="Arial" w:ascii="Arial" w:hAnsi="Arial"/>
          <w:sz w:val="24"/>
          <w:szCs w:val="24"/>
        </w:rPr>
        <w:t>Enron has applied for an interconnection to Southern.  In conjunction with that interconnection request, EPMI applied for transmission.  Before Southern finished or produced to Enron any interconnection study, Southern denied the EPMI transmission stating “Interconnection service cannot be provided prior to requested timeframe.”  When we called Southern, Southern said that its opinion was there were no available transformers and that the interconnection could not be built (again, even though Southern had not provided a study stating this.)  When Enron explained that it may have transformers, Southern allowed us to resubmit the requests.  While this issue has been resolved for the time being, this demonstrates another instance where transmission providers tend to act rather arbitrarily in acting on interconnection studies.  Ex. 5.</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8"/>
        </w:numPr>
        <w:tabs>
          <w:tab w:val="clear" w:pos="720"/>
          <w:tab w:val="left" w:pos="0" w:leader="none"/>
        </w:tabs>
        <w:ind w:hanging="360" w:start="720" w:end="0"/>
        <w:jc w:val="both"/>
        <w:rPr>
          <w:rFonts w:ascii="Arial" w:hAnsi="Arial" w:eastAsia="Arial" w:cs="Arial"/>
          <w:sz w:val="24"/>
          <w:szCs w:val="24"/>
        </w:rPr>
      </w:pPr>
      <w:r>
        <w:rPr>
          <w:rFonts w:eastAsia="Arial" w:cs="Arial" w:ascii="Arial" w:hAnsi="Arial"/>
          <w:sz w:val="24"/>
          <w:szCs w:val="24"/>
        </w:rPr>
        <w:t>Enron submitted requests to interconnect to MidAmerican; however, terminated the request after realizing the delays of interconnecting in MAPP due to the review by the MAPP Design Subcommittee.  Ex. 6.</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9"/>
        </w:numPr>
        <w:tabs>
          <w:tab w:val="clear" w:pos="720"/>
          <w:tab w:val="left" w:pos="0" w:leader="none"/>
        </w:tabs>
        <w:ind w:hanging="360" w:start="720" w:end="0"/>
        <w:jc w:val="both"/>
        <w:rPr>
          <w:rFonts w:ascii="Arial" w:hAnsi="Arial" w:eastAsia="Arial" w:cs="Arial"/>
          <w:sz w:val="24"/>
          <w:szCs w:val="24"/>
        </w:rPr>
      </w:pPr>
      <w:r>
        <w:rPr>
          <w:rFonts w:eastAsia="Arial" w:cs="Arial" w:ascii="Arial" w:hAnsi="Arial"/>
          <w:sz w:val="24"/>
          <w:szCs w:val="24"/>
        </w:rPr>
        <w:t>Florida Power &amp; Light’s interconnection agreements state that it will take 120 days (instead of 60 days) for each of the required studies and asks for a non-refundable deposit.  Ex. 7.</w:t>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ind w:hanging="0" w:start="72" w:end="0"/>
    </w:pPr>
    <w:rPr>
      <w:rFonts w:ascii="Arial" w:hAnsi="Arial" w:eastAsia="Arial" w:cs="Arial"/>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2000-10-06T17:37:00Z</dcterms:created>
  <dc:creator>appinst</dc:creator>
  <dc:description/>
  <dc:language>en-CA</dc:language>
  <cp:lastModifiedBy>appinst</cp:lastModifiedBy>
  <cp:lastPrinted>2000-10-09T14:27:00Z</cp:lastPrinted>
  <dcterms:modified xsi:type="dcterms:W3CDTF">2000-10-09T16:57:00Z</dcterms:modified>
  <cp:revision>5</cp:revision>
  <dc:subject/>
  <dc:title>This summer, TVA told Enron that the cost of the Facilities Study to interconnect a proposed plant at Calvert City would be $1,000,000 and it would take 1 ½ years to complete such study</dc:title>
</cp:coreProperties>
</file>