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emf" ContentType="image/x-e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drawing>
          <wp:inline distT="0" distB="0" distL="0" distR="0">
            <wp:extent cx="995680" cy="9899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tretch>
                      <a:fillRect/>
                    </a:stretch>
                  </pic:blipFill>
                  <pic:spPr bwMode="auto">
                    <a:xfrm>
                      <a:off x="0" y="0"/>
                      <a:ext cx="995680" cy="989965"/>
                    </a:xfrm>
                    <a:prstGeom prst="rect">
                      <a:avLst/>
                    </a:prstGeom>
                    <a:noFill/>
                  </pic:spPr>
                </pic:pic>
              </a:graphicData>
            </a:graphic>
          </wp:inline>
        </w:drawing>
      </w:r>
    </w:p>
    <w:p>
      <w:pPr>
        <w:pStyle w:val="Heading"/>
        <w:rPr/>
      </w:pPr>
      <w:r>
        <w:rPr/>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rHeight w:val="300" w:hRule="exact"/>
        </w:trPr>
        <w:tc>
          <w:tcPr>
            <w:tcW w:w="708" w:type="dxa"/>
            <w:tcBorders/>
          </w:tcPr>
          <w:p>
            <w:pPr>
              <w:pStyle w:val="Normal"/>
              <w:ind w:start="-180" w:end="0"/>
              <w:jc w:val="end"/>
              <w:rPr>
                <w:sz w:val="16"/>
                <w:szCs w:val="16"/>
              </w:rPr>
            </w:pPr>
            <w:r>
              <w:rPr>
                <w:sz w:val="16"/>
                <w:szCs w:val="16"/>
              </w:rPr>
              <w:t>To:</w:t>
            </w:r>
          </w:p>
        </w:tc>
        <w:tc>
          <w:tcPr>
            <w:tcW w:w="6045" w:type="dxa"/>
            <w:tcBorders/>
          </w:tcPr>
          <w:p>
            <w:pPr>
              <w:pStyle w:val="To"/>
              <w:rPr/>
            </w:pPr>
            <w:r>
              <w:rPr/>
              <w:t>Cynthia Sandherr</w:t>
            </w:r>
          </w:p>
        </w:tc>
        <w:tc>
          <w:tcPr>
            <w:tcW w:w="990" w:type="dxa"/>
            <w:tcBorders/>
          </w:tcPr>
          <w:p>
            <w:pPr>
              <w:pStyle w:val="Normal"/>
              <w:snapToGrid w:val="false"/>
              <w:ind w:start="-180" w:end="0"/>
              <w:rPr/>
            </w:pPr>
            <w:r>
              <w:rPr/>
            </w:r>
          </w:p>
        </w:tc>
        <w:tc>
          <w:tcPr>
            <w:tcW w:w="2965" w:type="dxa"/>
            <w:tcBorders/>
          </w:tcPr>
          <w:p>
            <w:pPr>
              <w:pStyle w:val="Normal"/>
              <w:snapToGrid w:val="false"/>
              <w:rPr/>
            </w:pPr>
            <w:r>
              <w:rPr/>
            </w:r>
          </w:p>
        </w:tc>
      </w:tr>
      <w:tr>
        <w:trPr>
          <w:trHeight w:val="216" w:hRule="exact"/>
        </w:trPr>
        <w:tc>
          <w:tcPr>
            <w:tcW w:w="708" w:type="dxa"/>
            <w:tcBorders/>
          </w:tcPr>
          <w:p>
            <w:pPr>
              <w:pStyle w:val="Normal"/>
              <w:snapToGrid w:val="false"/>
              <w:ind w:start="-180" w:end="0"/>
              <w:jc w:val="end"/>
              <w:rPr>
                <w:sz w:val="18"/>
                <w:szCs w:val="18"/>
              </w:rPr>
            </w:pPr>
            <w:r>
              <w:rPr>
                <w:sz w:val="18"/>
                <w:szCs w:val="18"/>
              </w:rPr>
            </w:r>
          </w:p>
        </w:tc>
        <w:tc>
          <w:tcPr>
            <w:tcW w:w="6045" w:type="dxa"/>
            <w:tcBorders/>
          </w:tcPr>
          <w:p>
            <w:pPr>
              <w:pStyle w:val="Normal"/>
              <w:snapToGrid w:val="false"/>
              <w:rPr>
                <w:sz w:val="18"/>
                <w:szCs w:val="18"/>
              </w:rPr>
            </w:pPr>
            <w:r>
              <w:rPr>
                <w:sz w:val="18"/>
                <w:szCs w:val="18"/>
              </w:rPr>
            </w:r>
          </w:p>
        </w:tc>
        <w:tc>
          <w:tcPr>
            <w:tcW w:w="990" w:type="dxa"/>
            <w:tcBorders/>
          </w:tcPr>
          <w:p>
            <w:pPr>
              <w:pStyle w:val="Normal"/>
              <w:snapToGrid w:val="false"/>
              <w:ind w:start="-180" w:end="0"/>
              <w:rPr>
                <w:sz w:val="18"/>
                <w:szCs w:val="18"/>
              </w:rPr>
            </w:pPr>
            <w:r>
              <w:rPr>
                <w:sz w:val="18"/>
                <w:szCs w:val="18"/>
              </w:rPr>
            </w:r>
          </w:p>
        </w:tc>
        <w:tc>
          <w:tcPr>
            <w:tcW w:w="2965" w:type="dxa"/>
            <w:tcBorders/>
          </w:tcPr>
          <w:p>
            <w:pPr>
              <w:pStyle w:val="Normal"/>
              <w:snapToGrid w:val="false"/>
              <w:rPr>
                <w:sz w:val="18"/>
                <w:szCs w:val="18"/>
              </w:rPr>
            </w:pPr>
            <w:r>
              <w:rPr>
                <w:sz w:val="18"/>
                <w:szCs w:val="18"/>
              </w:rPr>
            </w:r>
          </w:p>
        </w:tc>
      </w:tr>
      <w:tr>
        <w:trPr>
          <w:trHeight w:val="300" w:hRule="exact"/>
        </w:trPr>
        <w:tc>
          <w:tcPr>
            <w:tcW w:w="708" w:type="dxa"/>
            <w:tcBorders/>
          </w:tcPr>
          <w:p>
            <w:pPr>
              <w:pStyle w:val="Normal"/>
              <w:ind w:start="-180" w:end="0"/>
              <w:jc w:val="end"/>
              <w:rPr>
                <w:sz w:val="16"/>
                <w:szCs w:val="16"/>
              </w:rPr>
            </w:pPr>
            <w:r>
              <w:rPr>
                <w:sz w:val="16"/>
                <w:szCs w:val="16"/>
              </w:rPr>
              <w:t>From:</w:t>
            </w:r>
          </w:p>
        </w:tc>
        <w:tc>
          <w:tcPr>
            <w:tcW w:w="6045" w:type="dxa"/>
            <w:tcBorders/>
          </w:tcPr>
          <w:p>
            <w:pPr>
              <w:pStyle w:val="From"/>
              <w:rPr/>
            </w:pPr>
            <w:r>
              <w:rPr/>
              <w:t>Christi Nicolay</w:t>
            </w:r>
          </w:p>
        </w:tc>
        <w:tc>
          <w:tcPr>
            <w:tcW w:w="990" w:type="dxa"/>
            <w:tcBorders/>
          </w:tcPr>
          <w:p>
            <w:pPr>
              <w:pStyle w:val="Normal"/>
              <w:ind w:start="-180" w:end="0"/>
              <w:jc w:val="end"/>
              <w:rPr>
                <w:sz w:val="16"/>
                <w:szCs w:val="16"/>
              </w:rPr>
            </w:pPr>
            <w:r>
              <w:rPr>
                <w:sz w:val="16"/>
                <w:szCs w:val="16"/>
              </w:rPr>
              <w:t>Department:</w:t>
            </w:r>
          </w:p>
        </w:tc>
        <w:tc>
          <w:tcPr>
            <w:tcW w:w="2965" w:type="dxa"/>
            <w:tcBorders/>
          </w:tcPr>
          <w:p>
            <w:pPr>
              <w:pStyle w:val="Department"/>
              <w:rPr/>
            </w:pPr>
            <w:bookmarkStart w:id="0" w:name="From"/>
            <w:bookmarkEnd w:id="0"/>
            <w:r>
              <w:rPr/>
              <w:t>Fed. Reg. Affairs</w:t>
            </w:r>
          </w:p>
        </w:tc>
      </w:tr>
      <w:tr>
        <w:trPr>
          <w:trHeight w:val="216" w:hRule="exact"/>
        </w:trPr>
        <w:tc>
          <w:tcPr>
            <w:tcW w:w="708" w:type="dxa"/>
            <w:tcBorders/>
          </w:tcPr>
          <w:p>
            <w:pPr>
              <w:pStyle w:val="Normal"/>
              <w:snapToGrid w:val="false"/>
              <w:ind w:start="-180" w:end="0"/>
              <w:jc w:val="end"/>
              <w:rPr>
                <w:sz w:val="18"/>
                <w:szCs w:val="18"/>
              </w:rPr>
            </w:pPr>
            <w:r>
              <w:rPr>
                <w:sz w:val="18"/>
                <w:szCs w:val="18"/>
              </w:rPr>
            </w:r>
          </w:p>
        </w:tc>
        <w:tc>
          <w:tcPr>
            <w:tcW w:w="6045" w:type="dxa"/>
            <w:tcBorders/>
          </w:tcPr>
          <w:p>
            <w:pPr>
              <w:pStyle w:val="Normal"/>
              <w:snapToGrid w:val="false"/>
              <w:rPr>
                <w:sz w:val="18"/>
                <w:szCs w:val="18"/>
              </w:rPr>
            </w:pPr>
            <w:r>
              <w:rPr>
                <w:sz w:val="18"/>
                <w:szCs w:val="18"/>
              </w:rPr>
            </w:r>
          </w:p>
        </w:tc>
        <w:tc>
          <w:tcPr>
            <w:tcW w:w="990" w:type="dxa"/>
            <w:tcBorders/>
          </w:tcPr>
          <w:p>
            <w:pPr>
              <w:pStyle w:val="Normal"/>
              <w:snapToGrid w:val="false"/>
              <w:ind w:start="-180" w:end="0"/>
              <w:rPr>
                <w:sz w:val="18"/>
                <w:szCs w:val="18"/>
              </w:rPr>
            </w:pPr>
            <w:r>
              <w:rPr>
                <w:sz w:val="18"/>
                <w:szCs w:val="18"/>
              </w:rPr>
            </w:r>
          </w:p>
        </w:tc>
        <w:tc>
          <w:tcPr>
            <w:tcW w:w="2965" w:type="dxa"/>
            <w:tcBorders/>
          </w:tcPr>
          <w:p>
            <w:pPr>
              <w:pStyle w:val="Normal"/>
              <w:snapToGrid w:val="false"/>
              <w:rPr>
                <w:sz w:val="18"/>
                <w:szCs w:val="18"/>
              </w:rPr>
            </w:pPr>
            <w:r>
              <w:rPr>
                <w:sz w:val="18"/>
                <w:szCs w:val="18"/>
              </w:rPr>
            </w:r>
          </w:p>
        </w:tc>
      </w:tr>
      <w:tr>
        <w:trPr>
          <w:trHeight w:val="600" w:hRule="exact"/>
        </w:trPr>
        <w:tc>
          <w:tcPr>
            <w:tcW w:w="708" w:type="dxa"/>
            <w:tcBorders>
              <w:bottom w:val="single" w:sz="12" w:space="0" w:color="000000"/>
            </w:tcBorders>
          </w:tcPr>
          <w:p>
            <w:pPr>
              <w:pStyle w:val="Normal"/>
              <w:ind w:start="-180" w:end="0"/>
              <w:jc w:val="end"/>
              <w:rPr>
                <w:sz w:val="16"/>
                <w:szCs w:val="16"/>
              </w:rPr>
            </w:pPr>
            <w:r>
              <w:rPr>
                <w:sz w:val="16"/>
                <w:szCs w:val="16"/>
              </w:rPr>
              <w:t>Subject:</w:t>
            </w:r>
          </w:p>
        </w:tc>
        <w:tc>
          <w:tcPr>
            <w:tcW w:w="6045" w:type="dxa"/>
            <w:tcBorders>
              <w:bottom w:val="single" w:sz="12" w:space="0" w:color="000000"/>
            </w:tcBorders>
          </w:tcPr>
          <w:p>
            <w:pPr>
              <w:pStyle w:val="Subject"/>
              <w:rPr/>
            </w:pPr>
            <w:r>
              <w:rPr/>
              <w:t>Transmission Problems – Summer 1999</w:t>
            </w:r>
          </w:p>
        </w:tc>
        <w:tc>
          <w:tcPr>
            <w:tcW w:w="990" w:type="dxa"/>
            <w:tcBorders>
              <w:bottom w:val="single" w:sz="12" w:space="0" w:color="000000"/>
            </w:tcBorders>
          </w:tcPr>
          <w:p>
            <w:pPr>
              <w:pStyle w:val="Normal"/>
              <w:ind w:start="-180" w:end="0"/>
              <w:jc w:val="end"/>
              <w:rPr>
                <w:sz w:val="16"/>
                <w:szCs w:val="16"/>
              </w:rPr>
            </w:pPr>
            <w:r>
              <w:rPr>
                <w:sz w:val="16"/>
                <w:szCs w:val="16"/>
              </w:rPr>
              <w:t>Date:</w:t>
            </w:r>
          </w:p>
        </w:tc>
        <w:tc>
          <w:tcPr>
            <w:tcW w:w="2965" w:type="dxa"/>
            <w:tcBorders>
              <w:bottom w:val="single" w:sz="12" w:space="0" w:color="000000"/>
            </w:tcBorders>
          </w:tcPr>
          <w:p>
            <w:pPr>
              <w:pStyle w:val="Date"/>
              <w:rPr/>
            </w:pPr>
            <w:r>
              <w:rPr/>
              <w:t>April 4, 2000</w:t>
            </w:r>
          </w:p>
        </w:tc>
      </w:tr>
    </w:tbl>
    <w:p>
      <w:pPr>
        <w:pStyle w:val="Body"/>
        <w:jc w:val="center"/>
        <w:rPr/>
      </w:pPr>
      <w:r>
        <w:rPr/>
      </w:r>
      <w:bookmarkStart w:id="1" w:name="StartOfMemo"/>
      <w:bookmarkStart w:id="2" w:name="StartOfMemo"/>
      <w:bookmarkEnd w:id="2"/>
    </w:p>
    <w:p>
      <w:pPr>
        <w:pStyle w:val="Body"/>
        <w:numPr>
          <w:ilvl w:val="0"/>
          <w:numId w:val="2"/>
        </w:numPr>
        <w:tabs>
          <w:tab w:val="left" w:pos="0" w:leader="none"/>
        </w:tabs>
        <w:ind w:hanging="360" w:start="792" w:end="0"/>
        <w:jc w:val="both"/>
        <w:rPr/>
      </w:pPr>
      <w:r>
        <w:rPr/>
        <w:t>On July 23, 1999 (Friday), EPMI reserved and prescheduled non firm daily transmission for Monday on a Transmission Provider into PJM through another pool when OASIS (the FERC-approved computer system for each transmission provider or pool) showed Available Transmission Capability (“ATC”).  The Transmission Provider confirmed the schedule to begin on Monday.  Late Friday evening, the other pool in the chain said that it would not allow the schedule to begin on Monday.  However, on Monday, it appeared that the interface was really not full, and, in fact, the other pool told me that EPMI should have been trying to use hourly transmission during that day, even though we had reserved daily (daily has a higher priority than hourly).  I had conversations with the other pool as to why it did not allow our daily schedule to flow, even though it had been scheduled and confirmed.  The other pool told me that it found “anomalies” in its system, but could not explain what the anomalies were or what they affected.  This kept EPMI from selling through that pool into PJM when PJM needed power.  The Transmission Provider billed EPMI for the transmission.  The other pool told me that it thinks EPMI should pay the bill unless I can send the other pool a schedule cut form.  I told the other pool that it was the one that told the first pool that EPMI’s power would not flow and that it had made the mistake.  We have paid the disputed transmission costs into escrow.  Since the other pool started the whole problem because it made a mistake and overallocated the path, EPMI should not have to pay for the transmission it was not allowed to use.</w:t>
      </w:r>
    </w:p>
    <w:p>
      <w:pPr>
        <w:pStyle w:val="Body"/>
        <w:jc w:val="both"/>
        <w:rPr/>
      </w:pPr>
      <w:r>
        <w:rPr/>
      </w:r>
    </w:p>
    <w:p>
      <w:pPr>
        <w:pStyle w:val="Body"/>
        <w:numPr>
          <w:ilvl w:val="0"/>
          <w:numId w:val="3"/>
        </w:numPr>
        <w:tabs>
          <w:tab w:val="left" w:pos="0" w:leader="none"/>
        </w:tabs>
        <w:ind w:hanging="360" w:start="810" w:end="0"/>
        <w:jc w:val="both"/>
        <w:rPr/>
      </w:pPr>
      <w:r>
        <w:rPr/>
        <w:t>On Friday July 23, 1999, a Transmission Provider had not acted on EPMI’s requested for a reservation for daily firm for Monday and the scheduling deadline was looming.  The request had been submitted at 4:30 pm on Thursday and the Transmission Provider was showing Available Transmission Capability (“ATC”) for the path.  We could not get a transmission person at the Transmission Provider to answer the phone – every number was on voice mail all morning.  I called the Transmission Provider’s attorney and explained the situation.  He said, “So you want me to go downstairs and find someone that can act on your request?”  I said, “That would be great!”  He said, “That’s not going to happen.  I cannot chase down telephone calls for you and you need to cut us some slack.”  After I explained that my next call would be to FERC since the Transmission Provider was showing ATC and would not act on our requested reservation, he had someone call me back.  EPMI’s request was refused then for lack of ATC because “there was a problem with OASIS.”  Tags apparently could not be accepted by email and OASIS paths even “disappeared.”  The Transmission Provider then made a general posting to call it in order to check on ATCs, rather than rely on OASIS.  This could lead to discrimination when the ATC information is not posted on OASIS.</w:t>
      </w:r>
    </w:p>
    <w:p>
      <w:pPr>
        <w:pStyle w:val="Body"/>
        <w:jc w:val="both"/>
        <w:rPr/>
      </w:pPr>
      <w:r>
        <w:rPr/>
      </w:r>
    </w:p>
    <w:p>
      <w:pPr>
        <w:pStyle w:val="Body"/>
        <w:numPr>
          <w:ilvl w:val="0"/>
          <w:numId w:val="4"/>
        </w:numPr>
        <w:tabs>
          <w:tab w:val="left" w:pos="0" w:leader="none"/>
        </w:tabs>
        <w:ind w:hanging="360" w:start="792" w:end="0"/>
        <w:jc w:val="both"/>
        <w:rPr/>
      </w:pPr>
      <w:r>
        <w:rPr/>
        <w:t>EPMI was trying to start an hourly schedule on a Transmission Provider and was told there was Transmission Line Loading Relief in effect (“TLRs”)(which prevent the start of new schedules or require the curtailment of current schedules).  EPMI could not locate the TLRs on any webpage, nor on OASIS.  I called the upstream Transmission Provider, and it said the TLR had been lifted ½ hour ago, which the first Transmission Provider did not tell me when I was on the phone with it.  The first Transmission Provider said it thinks it has no obligation to tell its customers that the TLR has been lifted and that customers would be allowed to schedule power.</w:t>
      </w:r>
    </w:p>
    <w:p>
      <w:pPr>
        <w:pStyle w:val="Body"/>
        <w:ind w:hanging="288" w:start="360" w:end="0"/>
        <w:jc w:val="both"/>
        <w:rPr/>
      </w:pPr>
      <w:r>
        <w:rPr/>
      </w:r>
    </w:p>
    <w:p>
      <w:pPr>
        <w:pStyle w:val="Body"/>
        <w:numPr>
          <w:ilvl w:val="0"/>
          <w:numId w:val="5"/>
        </w:numPr>
        <w:tabs>
          <w:tab w:val="left" w:pos="0" w:leader="none"/>
        </w:tabs>
        <w:ind w:hanging="360" w:start="792" w:end="0"/>
        <w:jc w:val="both"/>
        <w:rPr/>
      </w:pPr>
      <w:r>
        <w:rPr/>
        <w:t>On July 26, 1999, FERC Enforcement Staff agreed with EPMI and made a Transmission Provider flow an hourly transmission request that had been denied on Friday.  The Transmission Provider initially told me that it was refusing to flow the deal because the tag was 4 minutes late (although it had been both emailed and faxed 20 minutes earlier by EPMI).  The Transmission Provider admitted to FERC Enforcement Staff that it had received the tag in time, but had been too busy to look at any tags.  The Transmission Provider also said we should “call them” in the future, after faxing and emailing the tag, just to make sure that everything was ready.  Extra non-FERC approved requirements like this are a barrier to obtaining and scheduling transmission.</w:t>
      </w:r>
    </w:p>
    <w:p>
      <w:pPr>
        <w:pStyle w:val="Body"/>
        <w:jc w:val="both"/>
        <w:rPr/>
      </w:pPr>
      <w:r>
        <w:rPr/>
      </w:r>
    </w:p>
    <w:p>
      <w:pPr>
        <w:pStyle w:val="Body"/>
        <w:numPr>
          <w:ilvl w:val="0"/>
          <w:numId w:val="6"/>
        </w:numPr>
        <w:tabs>
          <w:tab w:val="left" w:pos="0" w:leader="none"/>
        </w:tabs>
        <w:ind w:hanging="360" w:start="810" w:end="0"/>
        <w:jc w:val="both"/>
        <w:rPr/>
      </w:pPr>
      <w:r>
        <w:rPr/>
        <w:t>On June 7, 1999, a similar event occurred with a Transmission Provider.  EPMI emailed and faxed tags at 11:25 and even called the Transmission Provider to alert it that the tags were on the way.  At 12:15, the Transmission Provider called and said the schedule was not allowed to flow because it had not received the tags.</w:t>
      </w:r>
    </w:p>
    <w:p>
      <w:pPr>
        <w:pStyle w:val="Body"/>
        <w:jc w:val="both"/>
        <w:rPr/>
      </w:pPr>
      <w:r>
        <w:rPr/>
      </w:r>
    </w:p>
    <w:p>
      <w:pPr>
        <w:pStyle w:val="Body"/>
        <w:numPr>
          <w:ilvl w:val="0"/>
          <w:numId w:val="7"/>
        </w:numPr>
        <w:tabs>
          <w:tab w:val="left" w:pos="0" w:leader="none"/>
        </w:tabs>
        <w:ind w:hanging="720" w:start="792" w:end="0"/>
        <w:jc w:val="both"/>
        <w:rPr/>
      </w:pPr>
      <w:r>
        <w:rPr/>
        <w:t>On June 8, 1999, a Transmission Provider changed its tagging requirement from 20 minutes before the hour to 60 minutes, which effectively killed the ability for marketers to schedule hourly transmission through this Transmission Provider.  This was on a hot day when EPMI was trying to get power into PJM when PJM needed the power.  There was ATC available and the Transmission Provider had even flowed the first hour of EPMI’s schedule on a 20 minute tag, but cut the second hour.  It is interesting that the Transmission Provider’s marketer had a great deal of the reserved transmission into PJM that day (although FERC Enforcement told me that it could not find evidence of affiliate abuse).  The notice of this tagging deadline change was buried on the Transmission Provider’s OASIS under “TLRs” and had only been posted the day before.  FERC Enforcement found that since the FERC Open Access Tariff does not contain rules for hourly scheduling, technically the Transmission Provider did not violate its tariff.  Per FERC Enforcement staff, NERC said that NERC Policy 3 “tagging” is only a “guideline,” so NERC will not make Transmission Providers comply with the 20 minute NERC deadline.  FERC Enforcement is making the Transmission Provider provide more notice on its OASIS when it makes changes to its “Business Practices” or any other practice it may have  (Note: “Business Practices” are not filed at FERC).</w:t>
      </w:r>
    </w:p>
    <w:p>
      <w:pPr>
        <w:pStyle w:val="Body"/>
        <w:numPr>
          <w:ilvl w:val="0"/>
          <w:numId w:val="0"/>
        </w:numPr>
        <w:ind w:hanging="0" w:start="432" w:end="0"/>
        <w:jc w:val="both"/>
        <w:rPr/>
      </w:pPr>
      <w:r>
        <w:rPr/>
      </w:r>
    </w:p>
    <w:p>
      <w:pPr>
        <w:pStyle w:val="Body"/>
        <w:numPr>
          <w:ilvl w:val="0"/>
          <w:numId w:val="7"/>
        </w:numPr>
        <w:tabs>
          <w:tab w:val="left" w:pos="0" w:leader="none"/>
        </w:tabs>
        <w:ind w:hanging="360" w:start="810" w:end="0"/>
        <w:jc w:val="both"/>
        <w:rPr/>
      </w:pPr>
      <w:r>
        <w:rPr/>
        <w:t>Another Transmission Provider also changed its tagging deadline to 30 minutes, instead of 20 minutes, during the middle of the summer.</w:t>
      </w:r>
    </w:p>
    <w:p>
      <w:pPr>
        <w:pStyle w:val="Body"/>
        <w:jc w:val="both"/>
        <w:rPr/>
      </w:pPr>
      <w:r>
        <w:rPr/>
      </w:r>
    </w:p>
    <w:p>
      <w:pPr>
        <w:pStyle w:val="Body"/>
        <w:numPr>
          <w:ilvl w:val="0"/>
          <w:numId w:val="8"/>
        </w:numPr>
        <w:tabs>
          <w:tab w:val="left" w:pos="0" w:leader="none"/>
        </w:tabs>
        <w:ind w:hanging="360" w:start="792" w:end="0"/>
        <w:jc w:val="both"/>
        <w:rPr/>
      </w:pPr>
      <w:r>
        <w:rPr/>
        <w:t>A Transmission Provider has a “policy,” which is not in its tariff, that allows the use of a secondary receipt or delivery point just once during the day.  FERC Enforcement agreed with EPMI that FERC’s pro forma open access tariff does not restrict the ability to change to secondary points, if ATC is available.  The Transmission Provider’s “policy” restricts the ability of marketers to wheel power freely from the points of availability to the points of need and favors the utility’s own generation.  The Transmission Provider told FERC that it did not have enough personnel to allow the flexibility in FERC’s open access tariff, but FERC said that was not a good argument.</w:t>
      </w:r>
    </w:p>
    <w:p>
      <w:pPr>
        <w:pStyle w:val="Body"/>
        <w:jc w:val="both"/>
        <w:rPr/>
      </w:pPr>
      <w:r>
        <w:rPr/>
      </w:r>
    </w:p>
    <w:p>
      <w:pPr>
        <w:pStyle w:val="Body"/>
        <w:numPr>
          <w:ilvl w:val="0"/>
          <w:numId w:val="9"/>
        </w:numPr>
        <w:tabs>
          <w:tab w:val="left" w:pos="0" w:leader="none"/>
        </w:tabs>
        <w:ind w:hanging="360" w:start="792" w:end="0"/>
        <w:jc w:val="both"/>
        <w:rPr/>
      </w:pPr>
      <w:r>
        <w:rPr/>
        <w:t>On July 28, 1999, EPMI was trying to wheel through a Transmission Provider in the hourly market when the Transmission Provider’s OASIS showed ATC.  EPMI submitted the OASIS reservation request and was told to submit a tag, too (usually, the tag is not submitted until the reservation is accepted).  The OASIS continued to show “received.”  When I called the Transmission Provider’s supervisor to inquire when we could expect a response (it was now about 24 minutes before the start hour), he said, “Honey, we don’t have time to look at OASIS.  You’ll just have to wait.”  Then, the Transmission Provider refused the transmission because of TLR.  Earlier this summer, the Transmission Provider told EPMI that it was always too busy and may not put schedules in because it is too busy to check the tags.</w:t>
      </w:r>
    </w:p>
    <w:p>
      <w:pPr>
        <w:pStyle w:val="Body"/>
        <w:jc w:val="both"/>
        <w:rPr/>
      </w:pPr>
      <w:r>
        <w:rPr/>
      </w:r>
    </w:p>
    <w:p>
      <w:pPr>
        <w:pStyle w:val="Body"/>
        <w:numPr>
          <w:ilvl w:val="0"/>
          <w:numId w:val="10"/>
        </w:numPr>
        <w:tabs>
          <w:tab w:val="left" w:pos="0" w:leader="none"/>
        </w:tabs>
        <w:ind w:hanging="378" w:start="828" w:end="0"/>
        <w:jc w:val="both"/>
        <w:rPr/>
      </w:pPr>
      <w:r>
        <w:rPr/>
        <w:t>On January 1, 1999, a Transmission Provider’s OASIS went down and it would not accept hourly deals by phone because it was “too busy.”  The lack of incentives for Transmission Providers to make OASIS work favors native load and precludes the wheeling of power where needed.</w:t>
      </w:r>
    </w:p>
    <w:p>
      <w:pPr>
        <w:pStyle w:val="Body"/>
        <w:jc w:val="both"/>
        <w:rPr/>
      </w:pPr>
      <w:r>
        <w:rPr/>
      </w:r>
    </w:p>
    <w:p>
      <w:pPr>
        <w:pStyle w:val="Body"/>
        <w:numPr>
          <w:ilvl w:val="0"/>
          <w:numId w:val="11"/>
        </w:numPr>
        <w:tabs>
          <w:tab w:val="left" w:pos="0" w:leader="none"/>
        </w:tabs>
        <w:ind w:hanging="360" w:start="792" w:end="0"/>
        <w:jc w:val="both"/>
        <w:rPr/>
      </w:pPr>
      <w:r>
        <w:rPr/>
        <w:t>EPMI was selling into one of the pools.  A Transmission Provider declared TLRs and, per NERC, the pool was supposed to notify the next upstream control area in the chain, and that party would notify the next control area, etc.  The Enron generators failed to receive proper notice of the curtailment and continued running (delivering to TVA) for several hours when the pool was posting a $900/MW price.  The pool told Enron that it would not pay the $900 during the curtailment; however, one of the Transmission Providers in the chain has EPMI’s energy.  Another marketer had the same problem on the same day when the pool told that marketer that the pool did not have time to make the appropriate calls.  The marketer told FERC Enforcement and NERC about the problem; however, has been told that in order to recover, the pool’s actions must be at the level of “intentional and wilful.”</w:t>
      </w:r>
    </w:p>
    <w:p>
      <w:pPr>
        <w:pStyle w:val="Body"/>
        <w:ind w:hanging="288" w:start="360" w:end="0"/>
        <w:jc w:val="both"/>
        <w:rPr/>
      </w:pPr>
      <w:r>
        <w:rPr/>
      </w:r>
    </w:p>
    <w:p>
      <w:pPr>
        <w:pStyle w:val="Body"/>
        <w:numPr>
          <w:ilvl w:val="0"/>
          <w:numId w:val="12"/>
        </w:numPr>
        <w:tabs>
          <w:tab w:val="left" w:pos="0" w:leader="none"/>
        </w:tabs>
        <w:ind w:hanging="360" w:start="792" w:end="0"/>
        <w:jc w:val="both"/>
        <w:rPr/>
      </w:pPr>
      <w:r>
        <w:rPr/>
        <w:t>A Transmission Provider had confirmed fairly high amounts of next day firm transmission for two marketers (not EPMI).  Later that day, the Transmission Provider confirmed the same amounts for its own marketer and “retracted” the previously confirmed amounts for the two marketers.  This was done even though the Transmission Provider’s marketer had requested a reservation after the two marketers.  The two marketers told us that they were going to call FERC enforcement.  Several hours later, the Transmission Provider’s OASIS was changed to reaward the amounts to the two marketers.</w:t>
      </w:r>
    </w:p>
    <w:sectPr>
      <w:headerReference w:type="default" r:id="rId3"/>
      <w:headerReference w:type="first" r:id="rId4"/>
      <w:footerReference w:type="default" r:id="rId5"/>
      <w:footerReference w:type="first" r:id="rId6"/>
      <w:type w:val="nextPage"/>
      <w:pgSz w:w="12240" w:h="15840"/>
      <w:pgMar w:left="720" w:right="720" w:gutter="0" w:header="720" w:top="776" w:footer="360" w:bottom="416"/>
      <w:pgNumType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w:charset w:val="01"/>
    <w:family w:val="swiss"/>
    <w:pitch w:val="variable"/>
  </w:font>
  <w:font w:name="CG Times (WN)">
    <w:charset w:val="01"/>
    <w:family w:val="roman"/>
    <w:pitch w:val="default"/>
  </w:font>
  <w:font w:name="Symbol">
    <w:charset w:val="0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bCs/>
        <w:sz w:val="16"/>
        <w:szCs w:val="16"/>
      </w:rPr>
    </w:pPr>
    <w:r>
      <w:rPr>
        <w:b/>
        <w:bCs/>
        <w:sz w:val="16"/>
        <w:szCs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szCs w:val="12"/>
      </w:rPr>
    </w:pPr>
    <w:r>
      <w:rPr>
        <w:sz w:val="12"/>
        <w:szCs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2430" w:leader="none"/>
        <w:tab w:val="left" w:pos="5310" w:leader="none"/>
        <w:tab w:val="right" w:pos="8640" w:leader="none"/>
        <w:tab w:val="right" w:pos="10800" w:leader="none"/>
      </w:tabs>
      <w:rPr>
        <w:sz w:val="16"/>
        <w:szCs w:val="16"/>
      </w:rPr>
    </w:pPr>
    <w:r>
      <w:rPr>
        <w:b/>
        <w:bCs/>
        <w:sz w:val="16"/>
        <w:szCs w:val="16"/>
      </w:rPr>
      <w:t>Respect</w:t>
      <w:tab/>
      <w:t>Integrity</w:t>
      <w:tab/>
      <w:t>Communication</w:t>
      <w:tab/>
      <w:t>Excellence</w:t>
    </w:r>
  </w:p>
  <w:p>
    <w:pPr>
      <w:pStyle w:val="Footer"/>
      <w:tabs>
        <w:tab w:val="clear" w:pos="4320"/>
        <w:tab w:val="left" w:pos="3780" w:leader="none"/>
        <w:tab w:val="center" w:pos="7560" w:leader="none"/>
        <w:tab w:val="right" w:pos="8640" w:leader="none"/>
        <w:tab w:val="right" w:pos="10800" w:leader="none"/>
      </w:tabs>
      <w:rPr>
        <w:sz w:val="12"/>
        <w:szCs w:val="12"/>
      </w:rPr>
    </w:pPr>
    <w:r>
      <w:rPr>
        <w:sz w:val="12"/>
        <w:szCs w:val="12"/>
      </w:rPr>
      <w:t>Form 000-469-1 (7/92)</w:t>
    </w:r>
  </w:p>
  <w:p>
    <w:pPr>
      <w:pStyle w:val="Footer"/>
      <w:tabs>
        <w:tab w:val="clear" w:pos="4320"/>
        <w:tab w:val="left" w:pos="3780" w:leader="none"/>
        <w:tab w:val="center" w:pos="7560" w:leader="none"/>
        <w:tab w:val="right" w:pos="8640" w:leader="none"/>
        <w:tab w:val="right" w:pos="10800" w:leader="none"/>
      </w:tabs>
      <w:rPr>
        <w:sz w:val="8"/>
        <w:szCs w:val="8"/>
      </w:rPr>
    </w:pPr>
    <w:r>
      <w:rPr>
        <w:sz w:val="8"/>
        <w:szCs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w:rPr/>
      <w:fldChar w:fldCharType="begin"/>
    </w:r>
    <w:r>
      <w:rPr/>
      <w:instrText xml:space="preserve"> DATE \@"M/d/yyyy" </w:instrText>
    </w:r>
    <w:r>
      <w:rPr/>
      <w:fldChar w:fldCharType="separate"/>
    </w:r>
    <w:r>
      <w:rPr/>
      <w:t>9/28/2025</w:t>
    </w:r>
    <w:r>
      <w:rPr/>
      <w:fldChar w:fldCharType="end"/>
    </w:r>
    <w:r>
      <w:rPr/>
      <w:tab/>
      <w:t xml:space="preserve">Page </w:t>
    </w:r>
    <w:r>
      <w:rPr/>
      <w:fldChar w:fldCharType="begin"/>
    </w:r>
    <w:r>
      <w:rPr/>
      <w:instrText xml:space="preserve"> PAGE </w:instrText>
    </w:r>
    <w:r>
      <w:rPr/>
      <w:fldChar w:fldCharType="separate"/>
    </w:r>
    <w:r>
      <w:rPr/>
      <w:t>2</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-361315</wp:posOffset>
              </wp:positionV>
              <wp:extent cx="3877310" cy="658495"/>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ind w:start="3600" w:end="0"/>
                            <w:rPr>
                              <w:b/>
                              <w:bCs/>
                              <w:sz w:val="32"/>
                              <w:szCs w:val="32"/>
                            </w:rPr>
                          </w:pPr>
                          <w:r>
                            <w:rPr>
                              <w:b/>
                              <w:bCs/>
                              <w:sz w:val="32"/>
                              <w:szCs w:val="32"/>
                            </w:rPr>
                            <w:t>InterofficeMemorandum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28.45pt;mso-position-vertical-relative:text;margin-left:201.3pt;mso-position-horizontal-relative:page">
              <v:fill opacity="0f"/>
              <v:textbox inset="0in,0in,0in,0in">
                <w:txbxContent>
                  <w:p>
                    <w:pPr>
                      <w:pStyle w:val="Normal"/>
                      <w:ind w:start="3600" w:end="0"/>
                      <w:rPr>
                        <w:b/>
                        <w:bCs/>
                        <w:sz w:val="32"/>
                        <w:szCs w:val="32"/>
                      </w:rPr>
                    </w:pPr>
                    <w:r>
                      <w:rPr>
                        <w:b/>
                        <w:bCs/>
                        <w:sz w:val="32"/>
                        <w:szCs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
    <w:lvl w:ilvl="0">
      <w:start w:val="1"/>
      <w:numFmt w:val="bullet"/>
      <w:lvlText w:val="·"/>
      <w:lvlJc w:val="start"/>
      <w:pPr>
        <w:tabs>
          <w:tab w:val="num" w:pos="378"/>
        </w:tabs>
        <w:ind w:start="378" w:hanging="378"/>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2">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Arial" w:cs="Arial"/>
      <w:color w:val="auto"/>
      <w:sz w:val="24"/>
      <w:szCs w:val="24"/>
      <w:lang w:val="en-US" w:eastAsia="zh-CN" w:bidi="hi-IN"/>
    </w:rPr>
  </w:style>
  <w:style w:type="paragraph" w:styleId="Heading3">
    <w:name w:val="heading 3"/>
    <w:basedOn w:val="Normal"/>
    <w:next w:val="NormalIndent"/>
    <w:qFormat/>
    <w:pPr>
      <w:numPr>
        <w:ilvl w:val="2"/>
        <w:numId w:val="1"/>
      </w:numPr>
      <w:ind w:hanging="0" w:start="360" w:end="0"/>
      <w:outlineLvl w:val="2"/>
    </w:pPr>
    <w:rPr>
      <w:rFonts w:ascii="CG Times (WN)" w:hAnsi="CG Times (WN)" w:eastAsia="CG Times (WN)" w:cs="CG Times (WN)"/>
      <w:b/>
      <w:bCs/>
    </w:rPr>
  </w:style>
  <w:style w:type="character" w:styleId="DefaultParagraphFont">
    <w:name w:val="Default Paragraph Font"/>
    <w:qFormat/>
    <w:rPr/>
  </w:style>
  <w:style w:type="paragraph" w:styleId="Heading">
    <w:name w:val="Heading"/>
    <w:basedOn w:val="Normal"/>
    <w:next w:val="BodyText"/>
    <w:qFormat/>
    <w:pPr>
      <w:tabs>
        <w:tab w:val="clear" w:pos="540"/>
      </w:tabs>
    </w:pPr>
    <w:rPr>
      <w:b/>
      <w:bCs/>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szCs w:val="20"/>
    </w:rPr>
  </w:style>
  <w:style w:type="paragraph" w:styleId="Date">
    <w:name w:val="Date"/>
    <w:basedOn w:val="Normal"/>
    <w:qFormat/>
    <w:pPr>
      <w:tabs>
        <w:tab w:val="clear" w:pos="540"/>
      </w:tabs>
    </w:pPr>
    <w:rPr>
      <w:sz w:val="20"/>
      <w:szCs w:val="20"/>
    </w:rPr>
  </w:style>
  <w:style w:type="paragraph" w:styleId="To">
    <w:name w:val="To"/>
    <w:basedOn w:val="Normal"/>
    <w:qFormat/>
    <w:pPr>
      <w:tabs>
        <w:tab w:val="clear" w:pos="540"/>
      </w:tabs>
    </w:pPr>
    <w:rPr>
      <w:sz w:val="20"/>
      <w:szCs w:val="20"/>
    </w:rPr>
  </w:style>
  <w:style w:type="paragraph" w:styleId="From">
    <w:name w:val="From"/>
    <w:basedOn w:val="Normal"/>
    <w:qFormat/>
    <w:pPr>
      <w:tabs>
        <w:tab w:val="clear" w:pos="540"/>
      </w:tabs>
    </w:pPr>
    <w:rPr>
      <w:sz w:val="20"/>
      <w:szCs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eastAsia="Arial" w:cs="Arial"/>
      <w:sz w:val="20"/>
      <w:szCs w:val="20"/>
    </w:rPr>
  </w:style>
  <w:style w:type="paragraph" w:styleId="Body">
    <w:name w:val="Body"/>
    <w:basedOn w:val="Normal"/>
    <w:qFormat/>
    <w:pPr>
      <w:tabs>
        <w:tab w:val="clear" w:pos="540"/>
      </w:tabs>
      <w:ind w:hanging="0" w:start="72" w:end="0"/>
    </w:pPr>
    <w:rPr>
      <w:rFonts w:ascii="Arial" w:hAnsi="Arial" w:eastAsia="Arial" w:cs="Arial"/>
      <w:color w:val="000080"/>
      <w:sz w:val="20"/>
      <w:szCs w:val="20"/>
    </w:rPr>
  </w:style>
  <w:style w:type="paragraph" w:styleId="Department">
    <w:name w:val="Department"/>
    <w:basedOn w:val="Normal"/>
    <w:qFormat/>
    <w:pPr>
      <w:tabs>
        <w:tab w:val="clear" w:pos="540"/>
      </w:tabs>
    </w:pPr>
    <w:rPr>
      <w:sz w:val="20"/>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emf"/><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Ectmemo.dot</Template>
  <TotalTime>147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2000-04-04T17:36:00Z</dcterms:created>
  <dc:creator>appinst</dc:creator>
  <dc:description/>
  <dc:language>en-CA</dc:language>
  <cp:lastModifiedBy>appinst</cp:lastModifiedBy>
  <cp:lastPrinted>2000-04-04T19:03:00Z</cp:lastPrinted>
  <dcterms:modified xsi:type="dcterms:W3CDTF">2000-04-04T21:39:00Z</dcterms:modified>
  <cp:revision>8</cp:revision>
  <dc:subject/>
  <dc:title>Eron Capital &amp; Trade Resources Memo</dc:title>
</cp:coreProperties>
</file>