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sz w:val="24"/>
          <w:szCs w:val="24"/>
          <w:u w:val="single"/>
        </w:rPr>
      </w:pPr>
      <w:r>
        <w:rPr>
          <w:b/>
          <w:bCs/>
          <w:sz w:val="24"/>
          <w:szCs w:val="24"/>
          <w:u w:val="single"/>
        </w:rPr>
        <w:t>ATTACHMENT B</w:t>
      </w:r>
    </w:p>
    <w:p>
      <w:pPr>
        <w:pStyle w:val="Body"/>
        <w:jc w:val="center"/>
        <w:rPr>
          <w:b/>
          <w:bCs/>
          <w:sz w:val="24"/>
          <w:szCs w:val="24"/>
          <w:u w:val="single"/>
        </w:rPr>
      </w:pPr>
      <w:r>
        <w:rPr>
          <w:b/>
          <w:bCs/>
          <w:sz w:val="24"/>
          <w:szCs w:val="24"/>
          <w:u w:val="single"/>
        </w:rPr>
      </w:r>
    </w:p>
    <w:p>
      <w:pPr>
        <w:pStyle w:val="Body"/>
        <w:jc w:val="center"/>
        <w:rPr>
          <w:sz w:val="24"/>
          <w:szCs w:val="24"/>
        </w:rPr>
      </w:pPr>
      <w:r>
        <w:rPr>
          <w:b/>
          <w:bCs/>
          <w:sz w:val="24"/>
          <w:szCs w:val="24"/>
          <w:u w:val="single"/>
        </w:rPr>
        <w:t>CONFIDENTIAL</w:t>
      </w:r>
    </w:p>
    <w:p>
      <w:pPr>
        <w:pStyle w:val="Body"/>
        <w:jc w:val="center"/>
        <w:rPr>
          <w:sz w:val="24"/>
          <w:szCs w:val="24"/>
        </w:rPr>
      </w:pPr>
      <w:r>
        <w:rPr>
          <w:sz w:val="24"/>
          <w:szCs w:val="24"/>
        </w:rPr>
      </w:r>
    </w:p>
    <w:p>
      <w:pPr>
        <w:pStyle w:val="Body"/>
        <w:jc w:val="center"/>
        <w:rPr>
          <w:sz w:val="24"/>
          <w:szCs w:val="24"/>
        </w:rPr>
      </w:pPr>
      <w:r>
        <w:rPr>
          <w:sz w:val="24"/>
          <w:szCs w:val="24"/>
        </w:rPr>
        <w:t>Enron Power Marketing, Inc.</w:t>
      </w:r>
    </w:p>
    <w:p>
      <w:pPr>
        <w:pStyle w:val="Body"/>
        <w:jc w:val="center"/>
        <w:rPr>
          <w:sz w:val="24"/>
          <w:szCs w:val="24"/>
        </w:rPr>
      </w:pPr>
      <w:r>
        <w:rPr>
          <w:sz w:val="24"/>
          <w:szCs w:val="24"/>
        </w:rPr>
        <w:t>Transmission/OASIS problems in Summer 2000</w:t>
      </w:r>
    </w:p>
    <w:p>
      <w:pPr>
        <w:pStyle w:val="Body"/>
        <w:jc w:val="center"/>
        <w:rPr>
          <w:sz w:val="24"/>
          <w:szCs w:val="24"/>
        </w:rPr>
      </w:pPr>
      <w:r>
        <w:rPr>
          <w:sz w:val="24"/>
          <w:szCs w:val="24"/>
        </w:rPr>
        <w:t xml:space="preserve">Gathered in Response to the FERC Staff Data Request </w:t>
      </w:r>
    </w:p>
    <w:p>
      <w:pPr>
        <w:pStyle w:val="Body"/>
        <w:jc w:val="center"/>
        <w:rPr>
          <w:sz w:val="24"/>
          <w:szCs w:val="24"/>
        </w:rPr>
      </w:pPr>
      <w:r>
        <w:rPr>
          <w:sz w:val="24"/>
          <w:szCs w:val="24"/>
        </w:rPr>
        <w:t>Relating to the Investigation of the Bulk Power Markets commenced July 26, 2000</w:t>
      </w:r>
    </w:p>
    <w:p>
      <w:pPr>
        <w:pStyle w:val="Body"/>
        <w:jc w:val="center"/>
        <w:rPr>
          <w:sz w:val="24"/>
          <w:szCs w:val="24"/>
        </w:rPr>
      </w:pPr>
      <w:r>
        <w:rPr>
          <w:sz w:val="24"/>
          <w:szCs w:val="24"/>
        </w:rPr>
        <w:t>(Prepared by Christi Nicolay, Senior Director of Fed. Reg. Affairs)</w:t>
      </w:r>
    </w:p>
    <w:p>
      <w:pPr>
        <w:pStyle w:val="Body"/>
        <w:jc w:val="both"/>
        <w:rPr>
          <w:sz w:val="24"/>
          <w:szCs w:val="24"/>
        </w:rPr>
      </w:pPr>
      <w:r>
        <w:rPr>
          <w:sz w:val="24"/>
          <w:szCs w:val="24"/>
        </w:rPr>
      </w:r>
    </w:p>
    <w:p>
      <w:pPr>
        <w:pStyle w:val="Body"/>
        <w:numPr>
          <w:ilvl w:val="0"/>
          <w:numId w:val="2"/>
        </w:numPr>
        <w:tabs>
          <w:tab w:val="left" w:pos="0" w:leader="none"/>
        </w:tabs>
        <w:ind w:hanging="360" w:start="792" w:end="0"/>
        <w:jc w:val="both"/>
        <w:rPr>
          <w:sz w:val="24"/>
          <w:szCs w:val="24"/>
        </w:rPr>
      </w:pPr>
      <w:r>
        <w:rPr>
          <w:sz w:val="24"/>
          <w:szCs w:val="24"/>
        </w:rPr>
        <w:t>On Thursday, May 4, 2000, First Energy told EPMI that we would have to wait several days for it to respond to EPMI’s request for transmission for Monday, yet First Energy approved CPS’s request for similar transmission within 1 hour.  First Energy could not explain why this happened.  Ex. 13.</w:t>
      </w:r>
    </w:p>
    <w:p>
      <w:pPr>
        <w:pStyle w:val="Body"/>
        <w:jc w:val="both"/>
        <w:rPr>
          <w:sz w:val="24"/>
          <w:szCs w:val="24"/>
        </w:rPr>
      </w:pPr>
      <w:r>
        <w:rPr>
          <w:sz w:val="24"/>
          <w:szCs w:val="24"/>
        </w:rPr>
      </w:r>
    </w:p>
    <w:p>
      <w:pPr>
        <w:pStyle w:val="Body"/>
        <w:numPr>
          <w:ilvl w:val="0"/>
          <w:numId w:val="3"/>
        </w:numPr>
        <w:tabs>
          <w:tab w:val="left" w:pos="0" w:leader="none"/>
        </w:tabs>
        <w:ind w:hanging="360" w:start="792" w:end="0"/>
        <w:jc w:val="both"/>
        <w:rPr>
          <w:sz w:val="24"/>
          <w:szCs w:val="24"/>
        </w:rPr>
      </w:pPr>
      <w:r>
        <w:rPr>
          <w:sz w:val="24"/>
          <w:szCs w:val="24"/>
        </w:rPr>
        <w:t>On May 8, 2000 at 7:16 am, EPMI entered a request for daily PTP Firm (75 MW) for next day on NIPSCO.  EPMI’s request was still “queued” at 3:34 pm in the afternoon.  NIP, affiliated with NIPSCO, submitted a 500 MW for daily PTP Firm for next day at 10:58 am for similar paths, which was “confirmed” at 2:15 pm, well before EPMI’s request.  Ex. 14.</w:t>
      </w:r>
    </w:p>
    <w:p>
      <w:pPr>
        <w:pStyle w:val="Body"/>
        <w:jc w:val="both"/>
        <w:rPr>
          <w:sz w:val="24"/>
          <w:szCs w:val="24"/>
        </w:rPr>
      </w:pPr>
      <w:r>
        <w:rPr>
          <w:sz w:val="24"/>
          <w:szCs w:val="24"/>
        </w:rPr>
      </w:r>
    </w:p>
    <w:p>
      <w:pPr>
        <w:pStyle w:val="Body"/>
        <w:numPr>
          <w:ilvl w:val="0"/>
          <w:numId w:val="4"/>
        </w:numPr>
        <w:tabs>
          <w:tab w:val="left" w:pos="0" w:leader="none"/>
        </w:tabs>
        <w:ind w:hanging="360" w:start="792" w:end="0"/>
        <w:jc w:val="both"/>
        <w:rPr>
          <w:sz w:val="24"/>
          <w:szCs w:val="24"/>
        </w:rPr>
      </w:pPr>
      <w:r>
        <w:rPr>
          <w:sz w:val="24"/>
          <w:szCs w:val="24"/>
        </w:rPr>
        <w:t>On May 8, 2000, EPMI submitted a request on Entergy for daily non-firm, which is supposed to be acted on within 30 minutes per FERC OASIS Order No. 638.  Entergy told EPMI that there was only one Entergy person working and he would get to the request when he could.  Entergy acted on it after one hour.  EPMI has fairly consistently been held to the “customer” confirmation times in Order No. 638 by most transmission providers; however, transmission providers are not consistent in following the “transmission provider” times.  Ex. 15a.</w:t>
      </w:r>
    </w:p>
    <w:p>
      <w:pPr>
        <w:pStyle w:val="Body"/>
        <w:jc w:val="both"/>
        <w:rPr>
          <w:sz w:val="24"/>
          <w:szCs w:val="24"/>
        </w:rPr>
      </w:pPr>
      <w:r>
        <w:rPr>
          <w:sz w:val="24"/>
          <w:szCs w:val="24"/>
        </w:rPr>
      </w:r>
    </w:p>
    <w:p>
      <w:pPr>
        <w:pStyle w:val="Body"/>
        <w:numPr>
          <w:ilvl w:val="0"/>
          <w:numId w:val="5"/>
        </w:numPr>
        <w:tabs>
          <w:tab w:val="left" w:pos="0" w:leader="none"/>
        </w:tabs>
        <w:ind w:hanging="360" w:start="792" w:end="0"/>
        <w:jc w:val="both"/>
        <w:rPr>
          <w:sz w:val="24"/>
          <w:szCs w:val="24"/>
        </w:rPr>
      </w:pPr>
      <w:r>
        <w:rPr>
          <w:sz w:val="24"/>
          <w:szCs w:val="24"/>
        </w:rPr>
        <w:t>For example, Ameren has repeated only given EPMI two (2) days to response to Monthly Firm transmission requests, even though Order No. 638 allows four (4) days.  Ameren took four (4) months to review the requests.  Ex. 19.</w:t>
      </w:r>
    </w:p>
    <w:p>
      <w:pPr>
        <w:pStyle w:val="Body"/>
        <w:jc w:val="both"/>
        <w:rPr>
          <w:sz w:val="24"/>
          <w:szCs w:val="24"/>
        </w:rPr>
      </w:pPr>
      <w:r>
        <w:rPr>
          <w:sz w:val="24"/>
          <w:szCs w:val="24"/>
        </w:rPr>
      </w:r>
    </w:p>
    <w:p>
      <w:pPr>
        <w:pStyle w:val="Normal"/>
        <w:numPr>
          <w:ilvl w:val="0"/>
          <w:numId w:val="6"/>
        </w:numPr>
        <w:tabs>
          <w:tab w:val="clear" w:pos="540"/>
          <w:tab w:val="left" w:pos="0" w:leader="none"/>
          <w:tab w:val="left" w:pos="180" w:leader="none"/>
        </w:tabs>
        <w:spacing w:lineRule="atLeast" w:line="240"/>
        <w:ind w:hanging="360" w:start="720" w:end="0"/>
        <w:jc w:val="both"/>
        <w:rPr>
          <w:color w:val="000000"/>
        </w:rPr>
      </w:pPr>
      <w:r>
        <w:rPr>
          <w:color w:val="000000"/>
        </w:rPr>
        <w:t>On May 2, 2000, an EPMI representative attended an ECAR ATC meeting.  At the meeting, a new method for calculating CBM was agreed on for ECAR members.  The result was that AEP will DECREASE their CBM's in the next week from 3,000 to 1,500 mw's, which meant that ATC would INCREASE into MECS.  When the EPMI person returned to the office, he noticed that DEMO, CIN and AEP MKT already had requests queued 5/2/00 (before it was announced at the meeting) to go to MECS.  AEP was the source (and thus the seller).  Therefore, when the ATC was raised, these utilities got the transmission (Cin and AEP Mkt later retracted their requests).  Ex. 17.</w:t>
      </w:r>
    </w:p>
    <w:p>
      <w:pPr>
        <w:pStyle w:val="Body"/>
        <w:jc w:val="both"/>
        <w:rPr>
          <w:sz w:val="24"/>
          <w:szCs w:val="24"/>
        </w:rPr>
      </w:pPr>
      <w:r>
        <w:rPr>
          <w:sz w:val="24"/>
          <w:szCs w:val="24"/>
        </w:rPr>
      </w:r>
    </w:p>
    <w:p>
      <w:pPr>
        <w:pStyle w:val="Body"/>
        <w:numPr>
          <w:ilvl w:val="0"/>
          <w:numId w:val="7"/>
        </w:numPr>
        <w:tabs>
          <w:tab w:val="left" w:pos="0" w:leader="none"/>
        </w:tabs>
        <w:ind w:hanging="360" w:start="792" w:end="0"/>
        <w:jc w:val="both"/>
        <w:rPr>
          <w:sz w:val="24"/>
          <w:szCs w:val="24"/>
        </w:rPr>
      </w:pPr>
      <w:r>
        <w:rPr>
          <w:sz w:val="24"/>
          <w:szCs w:val="24"/>
        </w:rPr>
        <w:t>On June 14, 2000, TVA denied a ENSE (Enron control area) to FPL tag when there was ATC available.  Ex. 15b.</w:t>
      </w:r>
    </w:p>
    <w:p>
      <w:pPr>
        <w:pStyle w:val="Body"/>
        <w:jc w:val="both"/>
        <w:rPr>
          <w:sz w:val="24"/>
          <w:szCs w:val="24"/>
        </w:rPr>
      </w:pPr>
      <w:r>
        <w:rPr>
          <w:sz w:val="24"/>
          <w:szCs w:val="24"/>
        </w:rPr>
      </w:r>
    </w:p>
    <w:p>
      <w:pPr>
        <w:pStyle w:val="Body"/>
        <w:numPr>
          <w:ilvl w:val="0"/>
          <w:numId w:val="8"/>
        </w:numPr>
        <w:tabs>
          <w:tab w:val="left" w:pos="0" w:leader="none"/>
        </w:tabs>
        <w:ind w:hanging="360" w:start="792" w:end="0"/>
        <w:jc w:val="both"/>
        <w:rPr>
          <w:sz w:val="24"/>
          <w:szCs w:val="24"/>
        </w:rPr>
      </w:pPr>
      <w:r>
        <w:rPr>
          <w:sz w:val="24"/>
          <w:szCs w:val="24"/>
        </w:rPr>
        <w:t>On July 24, 2000, EPMI was denied daily firm transmission in TVA even though the ATCs were available.  TVA said that the ATCs were wrong and that TVA is modifying its program.  Ex. 16.</w:t>
      </w:r>
    </w:p>
    <w:p>
      <w:pPr>
        <w:pStyle w:val="Body"/>
        <w:jc w:val="both"/>
        <w:rPr>
          <w:sz w:val="24"/>
          <w:szCs w:val="24"/>
        </w:rPr>
      </w:pPr>
      <w:r>
        <w:rPr>
          <w:sz w:val="24"/>
          <w:szCs w:val="24"/>
        </w:rPr>
      </w:r>
    </w:p>
    <w:p>
      <w:pPr>
        <w:pStyle w:val="Body"/>
        <w:numPr>
          <w:ilvl w:val="0"/>
          <w:numId w:val="9"/>
        </w:numPr>
        <w:tabs>
          <w:tab w:val="left" w:pos="0" w:leader="none"/>
        </w:tabs>
        <w:ind w:hanging="360" w:start="792" w:end="0"/>
        <w:jc w:val="both"/>
        <w:rPr>
          <w:sz w:val="24"/>
          <w:szCs w:val="24"/>
        </w:rPr>
      </w:pPr>
      <w:r>
        <w:rPr>
          <w:sz w:val="24"/>
          <w:szCs w:val="24"/>
        </w:rPr>
        <w:t>On July 7, 2000, EPMI was refused a 50 MW transmission request on TVA, when it appeared that at least 78 MW (net of losses) should be available according to TVA’s ATC less reservations on OASIS.  Ex. 18.</w:t>
      </w:r>
    </w:p>
    <w:p>
      <w:pPr>
        <w:pStyle w:val="Body"/>
        <w:jc w:val="both"/>
        <w:rPr>
          <w:sz w:val="24"/>
          <w:szCs w:val="24"/>
        </w:rPr>
      </w:pPr>
      <w:r>
        <w:rPr>
          <w:sz w:val="24"/>
          <w:szCs w:val="24"/>
        </w:rPr>
      </w:r>
    </w:p>
    <w:p>
      <w:pPr>
        <w:pStyle w:val="Body"/>
        <w:numPr>
          <w:ilvl w:val="0"/>
          <w:numId w:val="10"/>
        </w:numPr>
        <w:tabs>
          <w:tab w:val="left" w:pos="0" w:leader="none"/>
        </w:tabs>
        <w:ind w:hanging="360" w:start="792" w:end="0"/>
        <w:jc w:val="both"/>
        <w:rPr>
          <w:sz w:val="24"/>
          <w:szCs w:val="24"/>
        </w:rPr>
      </w:pPr>
      <w:r>
        <w:rPr>
          <w:sz w:val="24"/>
          <w:szCs w:val="24"/>
        </w:rPr>
        <w:t>Please check with Kim Bruno at the Commission for more examples.  I spoke with him during the summer.</w:t>
      </w:r>
    </w:p>
    <w:p>
      <w:pPr>
        <w:pStyle w:val="Body"/>
        <w:jc w:val="both"/>
        <w:rPr>
          <w:sz w:val="24"/>
          <w:szCs w:val="24"/>
        </w:rPr>
      </w:pPr>
      <w:r>
        <w:rPr>
          <w:sz w:val="24"/>
          <w:szCs w:val="24"/>
        </w:rPr>
      </w:r>
    </w:p>
    <w:p>
      <w:pPr>
        <w:pStyle w:val="Body"/>
        <w:numPr>
          <w:ilvl w:val="0"/>
          <w:numId w:val="11"/>
        </w:numPr>
        <w:tabs>
          <w:tab w:val="left" w:pos="0" w:leader="none"/>
        </w:tabs>
        <w:ind w:hanging="360" w:start="792" w:end="0"/>
        <w:jc w:val="both"/>
        <w:rPr>
          <w:sz w:val="24"/>
          <w:szCs w:val="24"/>
        </w:rPr>
      </w:pPr>
      <w:r>
        <w:rPr>
          <w:sz w:val="24"/>
          <w:szCs w:val="24"/>
        </w:rPr>
        <w:t>Also, we have forwarded information to Scott Miller about the extremely high amount of TLRs this summer.  We feel that EPMI moved less MWs due to TLRs this summer than last summer.</w:t>
      </w:r>
    </w:p>
    <w:sectPr>
      <w:headerReference w:type="default" r:id="rId2"/>
      <w:headerReference w:type="first" r:id="rId3"/>
      <w:footerReference w:type="default" r:id="rId4"/>
      <w:footerReference w:type="first" r:id="rId5"/>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2000-10-06T16:18:00Z</dcterms:created>
  <dc:creator>appinst</dc:creator>
  <dc:description/>
  <dc:language>en-CA</dc:language>
  <cp:lastModifiedBy>appinst</cp:lastModifiedBy>
  <cp:lastPrinted>2000-10-09T14:29:00Z</cp:lastPrinted>
  <dcterms:modified xsi:type="dcterms:W3CDTF">2000-10-09T16:59:00Z</dcterms:modified>
  <cp:revision>8</cp:revision>
  <dc:subject/>
  <dc:title>Eron Capital &amp; Trade Resources Memo</dc:title>
</cp:coreProperties>
</file>