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934" w:type="dxa"/>
        <w:jc w:val="start"/>
        <w:tblInd w:w="0" w:type="dxa"/>
        <w:tblLayout w:type="fixed"/>
        <w:tblCellMar>
          <w:top w:w="0" w:type="dxa"/>
          <w:start w:w="108" w:type="dxa"/>
          <w:bottom w:w="0" w:type="dxa"/>
          <w:end w:w="108" w:type="dxa"/>
        </w:tblCellMar>
      </w:tblPr>
      <w:tblGrid>
        <w:gridCol w:w="2178"/>
        <w:gridCol w:w="2718"/>
        <w:gridCol w:w="1602"/>
        <w:gridCol w:w="2718"/>
        <w:gridCol w:w="2718"/>
      </w:tblGrid>
      <w:tr>
        <w:trPr>
          <w:tblHeader w:val="true"/>
        </w:trPr>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Task Force</w:t>
            </w:r>
          </w:p>
        </w:tc>
        <w:tc>
          <w:tcPr>
            <w:tcW w:w="271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Objectives</w:t>
            </w:r>
          </w:p>
        </w:tc>
        <w:tc>
          <w:tcPr>
            <w:tcW w:w="1602"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Target Completion Date</w:t>
            </w:r>
          </w:p>
        </w:tc>
        <w:tc>
          <w:tcPr>
            <w:tcW w:w="271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Corp Team</w:t>
            </w:r>
          </w:p>
        </w:tc>
        <w:tc>
          <w:tcPr>
            <w:tcW w:w="2718"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Buyer Team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sz w:val="20"/>
              </w:rPr>
            </w:pPr>
            <w:r>
              <w:rPr>
                <w:b/>
                <w:sz w:val="20"/>
              </w:rPr>
              <w:t>Purchase Price Adjustments</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42" w:start="342" w:end="0"/>
              <w:rPr>
                <w:sz w:val="20"/>
              </w:rPr>
            </w:pPr>
            <w:r>
              <w:rPr>
                <w:sz w:val="20"/>
              </w:rPr>
              <w:t>1)</w:t>
              <w:tab/>
              <w:t>Determine and finalize a starting balance sheet (either 12/31/99 and 3/31/00) to use for reps of initial starting balance sheet,</w:t>
            </w:r>
          </w:p>
          <w:p>
            <w:pPr>
              <w:pStyle w:val="Normal"/>
              <w:ind w:hanging="342" w:start="342" w:end="0"/>
              <w:rPr>
                <w:sz w:val="20"/>
              </w:rPr>
            </w:pPr>
            <w:r>
              <w:rPr>
                <w:sz w:val="20"/>
              </w:rPr>
              <w:t>2)</w:t>
              <w:tab/>
              <w:t>identify and determine treatment for purchase price adjustments the intercompany debt (both between ENE and consolidated entities and ENE and unconsolidated entities),</w:t>
            </w:r>
          </w:p>
          <w:p>
            <w:pPr>
              <w:pStyle w:val="Normal"/>
              <w:ind w:hanging="342" w:start="342" w:end="0"/>
              <w:rPr>
                <w:sz w:val="20"/>
              </w:rPr>
            </w:pPr>
            <w:r>
              <w:rPr>
                <w:sz w:val="20"/>
              </w:rPr>
              <w:t>3)</w:t>
              <w:tab/>
              <w:t>Third party debt projected for 12/31/00</w:t>
            </w:r>
          </w:p>
          <w:p>
            <w:pPr>
              <w:pStyle w:val="Normal"/>
              <w:ind w:hanging="342" w:start="342" w:end="0"/>
              <w:rPr>
                <w:sz w:val="20"/>
              </w:rPr>
            </w:pPr>
            <w:r>
              <w:rPr>
                <w:sz w:val="20"/>
              </w:rPr>
              <w:t>4)</w:t>
              <w:tab/>
              <w:t>Working Capital adjustments and determination of excess working capital</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7</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Bob Butts,</w:t>
            </w:r>
            <w:r>
              <w:rPr>
                <w:sz w:val="20"/>
              </w:rPr>
              <w:t xml:space="preserve">  </w:t>
            </w:r>
            <w:r>
              <w:rPr>
                <w:sz w:val="20"/>
                <w:u w:val="single"/>
              </w:rPr>
              <w:t>Rodney Faldyn</w:t>
            </w:r>
            <w:r>
              <w:rPr>
                <w:sz w:val="20"/>
              </w:rPr>
              <w:t>, Amit Walia</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Todd Lindholm, Kent Castleman, Jeff Sommers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Related Party Contracts/Guarantees/EECC</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42" w:start="342" w:end="0"/>
              <w:rPr>
                <w:sz w:val="20"/>
              </w:rPr>
            </w:pPr>
            <w:r>
              <w:rPr>
                <w:sz w:val="20"/>
              </w:rPr>
              <w:t>1)</w:t>
              <w:tab/>
              <w:t>Develop lists of all related party contracts between ENE and EI, noting the purpose, term, termination provisions and recommended solution for each,</w:t>
            </w:r>
          </w:p>
          <w:p>
            <w:pPr>
              <w:pStyle w:val="Normal"/>
              <w:ind w:hanging="342" w:start="342" w:end="0"/>
              <w:rPr>
                <w:sz w:val="20"/>
              </w:rPr>
            </w:pPr>
            <w:r>
              <w:rPr>
                <w:sz w:val="20"/>
              </w:rPr>
              <w:t>2)</w:t>
              <w:tab/>
              <w:t>list all guarantees/LCs provided by ENE to EI entities (including EE&amp;CC)  – noting purpose, beneficiary, term, termination/transfer provisions,</w:t>
            </w:r>
          </w:p>
          <w:p>
            <w:pPr>
              <w:pStyle w:val="Normal"/>
              <w:ind w:hanging="342" w:start="342" w:end="0"/>
              <w:rPr>
                <w:sz w:val="20"/>
              </w:rPr>
            </w:pPr>
            <w:r>
              <w:rPr>
                <w:sz w:val="20"/>
              </w:rPr>
              <w:t>3)</w:t>
              <w:tab/>
              <w:t>develop mechanism and timing to transfer guarantees/LCs to EI,</w:t>
            </w:r>
          </w:p>
          <w:p>
            <w:pPr>
              <w:pStyle w:val="Normal"/>
              <w:ind w:hanging="342" w:start="342" w:end="0"/>
              <w:rPr>
                <w:sz w:val="20"/>
              </w:rPr>
            </w:pPr>
            <w:r>
              <w:rPr>
                <w:sz w:val="20"/>
              </w:rPr>
              <w:t>4)</w:t>
              <w:tab/>
              <w:t xml:space="preserve">identify projected need by EECC for new ENE guarantees during the third and fourth quarters of 2000 and by quarter for 2001 and what alternatives for an ENE guarantee would be available </w:t>
            </w:r>
          </w:p>
          <w:p>
            <w:pPr>
              <w:pStyle w:val="Normal"/>
              <w:ind w:hanging="342" w:start="342" w:end="0"/>
              <w:rPr>
                <w:sz w:val="20"/>
              </w:rPr>
            </w:pPr>
            <w:r>
              <w:rPr>
                <w:sz w:val="20"/>
              </w:rPr>
              <w:t>5)</w:t>
              <w:tab/>
              <w:t>develop pricing mechanism for existing and new guarantee/LC/credit support between ENE and EI</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10</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Cheryl Lipshutz</w:t>
            </w:r>
            <w:r>
              <w:rPr>
                <w:sz w:val="20"/>
              </w:rPr>
              <w:t>, Amit Walia, Lance Schuler, August Shouse – VE</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Bill Gathmann, Fred Kelly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Transition Services/Insurance</w:t>
            </w:r>
            <w:r>
              <w:rPr>
                <w:sz w:val="20"/>
              </w:rPr>
              <w:t xml:space="preserve"> –</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42" w:start="342" w:end="0"/>
              <w:rPr>
                <w:sz w:val="20"/>
              </w:rPr>
            </w:pPr>
            <w:r>
              <w:rPr>
                <w:sz w:val="20"/>
              </w:rPr>
              <w:t>1)</w:t>
              <w:tab/>
              <w:t>Outline required shared services and projected costs between ENE and EI,</w:t>
            </w:r>
          </w:p>
          <w:p>
            <w:pPr>
              <w:pStyle w:val="Normal"/>
              <w:ind w:hanging="342" w:start="342" w:end="0"/>
              <w:rPr>
                <w:sz w:val="20"/>
              </w:rPr>
            </w:pPr>
            <w:r>
              <w:rPr>
                <w:sz w:val="20"/>
              </w:rPr>
              <w:t>2)</w:t>
              <w:tab/>
              <w:t>outline existing insurance and costs for EI businesses and propose transition plan to move programs under EI’s control and the associated cost of transfer, including “premium equivalent” for any self-insurance</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7</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Amit Walia</w:t>
            </w:r>
            <w:r>
              <w:rPr>
                <w:sz w:val="20"/>
              </w:rPr>
              <w:t>, Jim Boullion, Patrick Conner, Mike DeVille, Shelly Barber – VE</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Todd Lindholm, Dick Leibert</w:t>
            </w:r>
          </w:p>
        </w:tc>
      </w:tr>
    </w:tbl>
    <w:p>
      <w:pPr>
        <w:pStyle w:val="Normal"/>
        <w:rPr/>
      </w:pPr>
      <w:r>
        <w:br w:type="page"/>
      </w:r>
      <w:r>
        <w:rPr/>
      </w:r>
    </w:p>
    <w:tbl>
      <w:tblPr>
        <w:tblW w:w="11934" w:type="dxa"/>
        <w:jc w:val="start"/>
        <w:tblInd w:w="0" w:type="dxa"/>
        <w:tblLayout w:type="fixed"/>
        <w:tblCellMar>
          <w:top w:w="0" w:type="dxa"/>
          <w:start w:w="108" w:type="dxa"/>
          <w:bottom w:w="0" w:type="dxa"/>
          <w:end w:w="108" w:type="dxa"/>
        </w:tblCellMar>
      </w:tblPr>
      <w:tblGrid>
        <w:gridCol w:w="2178"/>
        <w:gridCol w:w="2718"/>
        <w:gridCol w:w="1602"/>
        <w:gridCol w:w="2718"/>
        <w:gridCol w:w="2718"/>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HR</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60" w:start="342" w:end="0"/>
              <w:rPr>
                <w:sz w:val="20"/>
              </w:rPr>
            </w:pPr>
            <w:r>
              <w:rPr>
                <w:sz w:val="20"/>
              </w:rPr>
              <w:t>1)</w:t>
              <w:tab/>
              <w:t>provide listing of all EI employees by title, describing current compensation and severance costs,</w:t>
            </w:r>
          </w:p>
          <w:p>
            <w:pPr>
              <w:pStyle w:val="Normal"/>
              <w:ind w:hanging="360" w:start="342" w:end="0"/>
              <w:rPr>
                <w:sz w:val="20"/>
              </w:rPr>
            </w:pPr>
            <w:r>
              <w:rPr>
                <w:sz w:val="20"/>
              </w:rPr>
              <w:t>2)</w:t>
              <w:tab/>
              <w:t>understand from EI management projected head count needs and total cost of severance,</w:t>
            </w:r>
          </w:p>
          <w:p>
            <w:pPr>
              <w:pStyle w:val="Normal"/>
              <w:ind w:hanging="360" w:start="342" w:end="0"/>
              <w:rPr>
                <w:sz w:val="20"/>
              </w:rPr>
            </w:pPr>
            <w:r>
              <w:rPr>
                <w:sz w:val="20"/>
              </w:rPr>
              <w:t>3)</w:t>
              <w:tab/>
              <w:t>develop transition plan for transfer of pension and benefits plans to EI</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10</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Mary Joyce</w:t>
            </w:r>
            <w:r>
              <w:rPr>
                <w:sz w:val="20"/>
              </w:rPr>
              <w:t>, Drew Lynch, Aaron Brown, Brian Bloom – VE</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Todd Lindholm</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ABC Structure</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60" w:start="342" w:end="0"/>
              <w:rPr>
                <w:sz w:val="20"/>
              </w:rPr>
            </w:pPr>
            <w:r>
              <w:rPr>
                <w:sz w:val="20"/>
              </w:rPr>
              <w:t>1)</w:t>
              <w:tab/>
              <w:t>Outline the legal entities and required steps to close under the ABC Structure,</w:t>
            </w:r>
          </w:p>
          <w:p>
            <w:pPr>
              <w:pStyle w:val="Normal"/>
              <w:ind w:hanging="360" w:start="342" w:end="0"/>
              <w:rPr>
                <w:sz w:val="20"/>
              </w:rPr>
            </w:pPr>
            <w:r>
              <w:rPr>
                <w:sz w:val="20"/>
              </w:rPr>
              <w:t>2)</w:t>
              <w:tab/>
              <w:t>select the companies that will be sold/transferred to the respective holding companies</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10</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Cullen Duke</w:t>
            </w:r>
            <w:r>
              <w:rPr>
                <w:sz w:val="20"/>
              </w:rPr>
              <w:t>, Bob Butts, August Shouse – VE</w:t>
            </w:r>
          </w:p>
        </w:tc>
        <w:tc>
          <w:tcPr>
            <w:tcW w:w="271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Transfer Issues</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42" w:start="342" w:end="0"/>
              <w:rPr>
                <w:sz w:val="20"/>
              </w:rPr>
            </w:pPr>
            <w:r>
              <w:rPr>
                <w:sz w:val="20"/>
              </w:rPr>
              <w:t>1)</w:t>
              <w:tab/>
              <w:t>Outline the required regulatory, lender and partner consents necessary for a) closing and b) later transfer to company C from Company A or B,</w:t>
            </w:r>
          </w:p>
          <w:p>
            <w:pPr>
              <w:pStyle w:val="Normal"/>
              <w:ind w:hanging="342" w:start="342" w:end="0"/>
              <w:rPr>
                <w:sz w:val="20"/>
              </w:rPr>
            </w:pPr>
            <w:r>
              <w:rPr>
                <w:sz w:val="20"/>
              </w:rPr>
              <w:t>2)</w:t>
              <w:tab/>
              <w:t>estimate total “friction” costs necessary to obtain consents,</w:t>
            </w:r>
          </w:p>
          <w:p>
            <w:pPr>
              <w:pStyle w:val="Normal"/>
              <w:ind w:hanging="342" w:start="342" w:end="0"/>
              <w:rPr>
                <w:sz w:val="20"/>
              </w:rPr>
            </w:pPr>
            <w:r>
              <w:rPr>
                <w:sz w:val="20"/>
              </w:rPr>
              <w:t>3)</w:t>
              <w:tab/>
              <w:t>develop specific action plan to obtain required consents, detailing timing and primary responsibility</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13</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Cheryl Lipshutz</w:t>
            </w:r>
            <w:r>
              <w:rPr>
                <w:sz w:val="20"/>
              </w:rPr>
              <w:t>, Richard Shapiro, Mitch Taylor, Mark Spradling – VE</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Bill Gathmann, Lance Brasher – Skadden</w:t>
            </w:r>
          </w:p>
        </w:tc>
      </w:tr>
    </w:tbl>
    <w:p>
      <w:pPr>
        <w:pStyle w:val="Normal"/>
        <w:rPr/>
      </w:pPr>
      <w:r>
        <w:br w:type="page"/>
      </w:r>
      <w:r>
        <w:rPr/>
      </w:r>
    </w:p>
    <w:tbl>
      <w:tblPr>
        <w:tblW w:w="11934" w:type="dxa"/>
        <w:jc w:val="start"/>
        <w:tblInd w:w="0" w:type="dxa"/>
        <w:tblLayout w:type="fixed"/>
        <w:tblCellMar>
          <w:top w:w="0" w:type="dxa"/>
          <w:start w:w="108" w:type="dxa"/>
          <w:bottom w:w="0" w:type="dxa"/>
          <w:end w:w="108" w:type="dxa"/>
        </w:tblCellMar>
      </w:tblPr>
      <w:tblGrid>
        <w:gridCol w:w="2178"/>
        <w:gridCol w:w="2718"/>
        <w:gridCol w:w="1602"/>
        <w:gridCol w:w="2718"/>
        <w:gridCol w:w="2718"/>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Broadband</w:t>
            </w:r>
            <w:r>
              <w:rPr>
                <w:sz w:val="20"/>
              </w:rPr>
              <w:t>–</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India/South America – 1) develop/discuss plans to work together on broadband businesses, with primary emphasis on India</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7</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u w:val="single"/>
              </w:rPr>
              <w:t>Ken Rice</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Sanjay Bhatnager, Sean Cumberland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Elba Island Offtake</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 negotiate a commercial offtake agreement for LNG at Elba Island</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13</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u w:val="single"/>
              </w:rPr>
              <w:t>Dave Delainey</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David Haug</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EGEP Relationship</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42" w:start="342" w:end="0"/>
              <w:rPr>
                <w:sz w:val="20"/>
              </w:rPr>
            </w:pPr>
            <w:r>
              <w:rPr>
                <w:sz w:val="20"/>
              </w:rPr>
              <w:t>1)</w:t>
              <w:tab/>
              <w:t>negotiate an offtake arrangement between EGEP and EI for Indian gas production, 2) negotiate role for EI in government of India discussions concerning EGEP reserves</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13</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u w:val="single"/>
              </w:rPr>
            </w:pPr>
            <w:r>
              <w:rPr>
                <w:sz w:val="20"/>
                <w:u w:val="single"/>
              </w:rPr>
              <w:t xml:space="preserve">Jeff Sherrick, </w:t>
            </w:r>
            <w:r>
              <w:rPr>
                <w:sz w:val="20"/>
              </w:rPr>
              <w:t>Mitch Taylor, Cullen Duke</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Sanjay Bhatnagar</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Japan Alliance</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42" w:start="342" w:end="0"/>
              <w:rPr>
                <w:sz w:val="20"/>
              </w:rPr>
            </w:pPr>
            <w:r>
              <w:rPr>
                <w:sz w:val="20"/>
              </w:rPr>
              <w:t>1)</w:t>
              <w:tab/>
              <w:t>negotiate/outline alliance agreement between ENE and EI for Japan/Australia</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15</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Cliff Baxter</w:t>
            </w:r>
            <w:r>
              <w:rPr>
                <w:sz w:val="20"/>
              </w:rPr>
              <w:t>, Mark Metts</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Dr. Amin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Interim Operations</w:t>
            </w:r>
          </w:p>
        </w:tc>
        <w:tc>
          <w:tcPr>
            <w:tcW w:w="2718" w:type="dxa"/>
            <w:tcBorders>
              <w:top w:val="single" w:sz="4" w:space="0" w:color="000000"/>
              <w:start w:val="single" w:sz="4" w:space="0" w:color="000000"/>
              <w:bottom w:val="single" w:sz="4" w:space="0" w:color="000000"/>
              <w:end w:val="single" w:sz="4" w:space="0" w:color="000000"/>
            </w:tcBorders>
          </w:tcPr>
          <w:p>
            <w:pPr>
              <w:pStyle w:val="Normal"/>
              <w:ind w:hanging="342" w:start="342" w:end="0"/>
              <w:rPr>
                <w:sz w:val="20"/>
              </w:rPr>
            </w:pPr>
            <w:r>
              <w:rPr>
                <w:sz w:val="20"/>
              </w:rPr>
              <w:t>1)</w:t>
              <w:tab/>
              <w:t>develop schedule of proposed capital expenditures during the third and fourth quarter of 2000,</w:t>
            </w:r>
          </w:p>
          <w:p>
            <w:pPr>
              <w:pStyle w:val="Normal"/>
              <w:ind w:hanging="342" w:start="342" w:end="0"/>
              <w:rPr>
                <w:sz w:val="20"/>
              </w:rPr>
            </w:pPr>
            <w:r>
              <w:rPr>
                <w:sz w:val="20"/>
              </w:rPr>
              <w:t>2)</w:t>
              <w:tab/>
              <w:t>identify proposed source of funds</w:t>
            </w:r>
          </w:p>
        </w:tc>
        <w:tc>
          <w:tcPr>
            <w:tcW w:w="160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July 10</w:t>
            </w:r>
          </w:p>
        </w:tc>
        <w:tc>
          <w:tcPr>
            <w:tcW w:w="271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Amit Walia, Bob Butts, Mike DeVille</w:t>
            </w:r>
          </w:p>
        </w:tc>
        <w:tc>
          <w:tcPr>
            <w:tcW w:w="2718"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Joe Kishkill</w:t>
            </w:r>
            <w:r>
              <w:rPr>
                <w:sz w:val="20"/>
              </w:rPr>
              <w:t>, Frank Stabler</w:t>
            </w:r>
          </w:p>
        </w:tc>
      </w:tr>
    </w:tbl>
    <w:p>
      <w:pPr>
        <w:pStyle w:val="Normal"/>
        <w:rPr/>
      </w:pPr>
      <w:r>
        <w:rPr/>
      </w:r>
    </w:p>
    <w:sectPr>
      <w:footerReference w:type="default" r:id="rId2"/>
      <w:type w:val="nextPage"/>
      <w:pgSz w:orient="landscape" w:w="16838" w:h="11906"/>
      <w:pgMar w:left="1728" w:right="1728" w:gutter="0" w:header="0" w:top="1350"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wis721 BlkEx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/mnt/main-storage/datasets/enron-docs/doc/summer_Task_Force_table.doc</w:t>
    </w:r>
    <w:r>
      <w:rPr>
        <w:sz w:val="16"/>
        <w:lang w:eastAsia="en-US"/>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nise">
    <w:name w:val="Denise"/>
    <w:basedOn w:val="Normal"/>
    <w:qFormat/>
    <w:pPr>
      <w:tabs>
        <w:tab w:val="clear" w:pos="720"/>
        <w:tab w:val="left" w:pos="-1440" w:leader="none"/>
        <w:tab w:val="left" w:pos="-720" w:leader="none"/>
      </w:tabs>
      <w:jc w:val="both"/>
    </w:pPr>
    <w:rPr>
      <w:rFonts w:ascii="Swis721 BlkEx BT" w:hAnsi="Swis721 BlkEx BT" w:cs="Swis721 BlkEx BT"/>
      <w:b/>
      <w:i/>
      <w:sz w:val="32"/>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2000-06-30T15:50:00Z</dcterms:created>
  <dc:creator>Bruna Bonafe</dc:creator>
  <dc:description/>
  <dc:language>en-CA</dc:language>
  <cp:lastModifiedBy>mtaylo2</cp:lastModifiedBy>
  <cp:lastPrinted>2000-06-30T19:08:00Z</cp:lastPrinted>
  <dcterms:modified xsi:type="dcterms:W3CDTF">2000-06-30T17:48:00Z</dcterms:modified>
  <cp:revision>4</cp:revision>
  <dc:subject/>
  <dc:title>Task Force</dc:title>
</cp:coreProperties>
</file>