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center"/>
        <w:rPr/>
      </w:pPr>
      <w:r>
        <w:rPr/>
        <w:t>SUMMARY OF CHANGES TO S.220 and H.R. 333 TO REFLECT THE CFMA AND MARKET DEVELOPMENTS AND TO MAKE TECHNICAL CORRECTIONS</w:t>
      </w:r>
    </w:p>
    <w:p>
      <w:pPr>
        <w:pStyle w:val="CG-SingleSp"/>
        <w:rPr>
          <w:u w:val="single"/>
        </w:rPr>
      </w:pPr>
      <w:r>
        <w:rPr>
          <w:u w:val="single"/>
        </w:rPr>
        <w:t>Changes to Netting Provisions of FDICIA</w:t>
      </w:r>
    </w:p>
    <w:p>
      <w:pPr>
        <w:pStyle w:val="CG-SingleSp"/>
        <w:numPr>
          <w:ilvl w:val="0"/>
          <w:numId w:val="7"/>
        </w:numPr>
        <w:rPr/>
      </w:pPr>
      <w:r>
        <w:rPr/>
        <w:t>To conform to the CFMA, amend the definition of “clearing organization” to include  MCO’s  (DCO’s and securities clearing agencies are already included).</w:t>
      </w:r>
    </w:p>
    <w:p>
      <w:pPr>
        <w:pStyle w:val="CG-SingleSp"/>
        <w:numPr>
          <w:ilvl w:val="0"/>
          <w:numId w:val="7"/>
        </w:numPr>
        <w:rPr/>
      </w:pPr>
      <w:r>
        <w:rPr/>
        <w:t>To reflect the CFMA, extend FDICIA Section 407 (as added by S. 220) to MCO’s that are uninsured state member banks and Edge Act corporations that are not in a proceeding under the Bankruptcy Code.</w:t>
      </w:r>
    </w:p>
    <w:p>
      <w:pPr>
        <w:pStyle w:val="CG-SingleSp"/>
        <w:rPr>
          <w:u w:val="single"/>
        </w:rPr>
      </w:pPr>
      <w:r>
        <w:rPr>
          <w:u w:val="single"/>
        </w:rPr>
        <w:t>Changes to the Bankruptcy Code</w:t>
      </w:r>
    </w:p>
    <w:p>
      <w:pPr>
        <w:pStyle w:val="CG-SingleSp"/>
        <w:numPr>
          <w:ilvl w:val="0"/>
          <w:numId w:val="7"/>
        </w:numPr>
        <w:rPr/>
      </w:pPr>
      <w:r>
        <w:rPr/>
        <w:t>To reflect the CFMA, amend the definitions of “forward contract,” “swap agreement,” “securities contract,” “commodity contract” and  “repurchase agreement” to include  guarantees by, and reimbursement obligations to, DCO’s, MCO’s, forward contract merchants, financial institutions, stockbrokers, repo participants, swap participants, financial participants and securities clearing agencies, as applicable, in connection with such contracts and agreements.  In addition, to reflect the CFMA, amend the definition of “contractual right” in respect of “commodity contract,” “forward contract,” “swap agreement,” “securities contract,” “repurchase agreement” and “master netting agreement” to include rules of DCO’s, MCO’s, financial participants, securities clearing agencies, contract markets, DTEF’s and boards of trade (including exempt boards of trade).</w:t>
      </w:r>
    </w:p>
    <w:p>
      <w:pPr>
        <w:pStyle w:val="CG-SingleSp"/>
        <w:numPr>
          <w:ilvl w:val="0"/>
          <w:numId w:val="9"/>
        </w:numPr>
        <w:rPr/>
      </w:pPr>
      <w:r>
        <w:rPr/>
        <w:t>To reflect market and regulatory changes, expand the assets that can be the subject of a “repurchase agreement” to include any security or loan and eliminate the one-year term limitation.</w:t>
      </w:r>
    </w:p>
    <w:p>
      <w:pPr>
        <w:pStyle w:val="CG-SingleSp"/>
        <w:numPr>
          <w:ilvl w:val="0"/>
          <w:numId w:val="9"/>
        </w:numPr>
        <w:rPr/>
      </w:pPr>
      <w:r>
        <w:rPr/>
        <w:t xml:space="preserve">To conform to the definition of “swap agreement” in Title III of the CFMA and the definition of “forward contract” in the existing Bankruptcy Code and to reflect market changes, amend the definition of “swap agreement” in S. 220.   </w:t>
      </w:r>
    </w:p>
    <w:p>
      <w:pPr>
        <w:pStyle w:val="CG-SingleSp"/>
        <w:numPr>
          <w:ilvl w:val="0"/>
          <w:numId w:val="9"/>
        </w:numPr>
        <w:rPr/>
      </w:pPr>
      <w:r>
        <w:rPr/>
        <w:t xml:space="preserve">To reflect the CFMA, amend the definition of “commodity contract” to make clear that </w:t>
      </w:r>
      <w:r>
        <w:rPr>
          <w:i/>
        </w:rPr>
        <w:t>for the purpose of Section 556 and related close-out provisions</w:t>
      </w:r>
      <w:r>
        <w:rPr/>
        <w:t xml:space="preserve">, “commodity contract” means transactions cleared by DCO’s and MCO’s or traded on or subject to the rules of a contract market, DTEF, DCO or board of trade,  </w:t>
      </w:r>
      <w:r>
        <w:rPr>
          <w:i/>
        </w:rPr>
        <w:t>but</w:t>
      </w:r>
      <w:r>
        <w:rPr/>
        <w:t xml:space="preserve"> retain the distinction introduced in amendments to the definition of “commodity contract” made by the CFMA that, </w:t>
      </w:r>
      <w:r>
        <w:rPr>
          <w:i/>
        </w:rPr>
        <w:t>for purposes of the commodity broker liquidation provisions of the Bankruptcy Code</w:t>
      </w:r>
      <w:r>
        <w:rPr/>
        <w:t xml:space="preserve">, “commodity contract” only includes transactions cleared by DCO’s. </w:t>
      </w:r>
    </w:p>
    <w:p>
      <w:pPr>
        <w:pStyle w:val="CG-SingleSp"/>
        <w:numPr>
          <w:ilvl w:val="0"/>
          <w:numId w:val="9"/>
        </w:numPr>
        <w:rPr/>
      </w:pPr>
      <w:r>
        <w:rPr/>
        <w:t>To reflect the CFMA, amend the preservation of customer priority provisions of new Section 561(b)(2) of the Bankruptcy Code (added by S. 220) to apply to commodity contracts that are cleared by a DCO and traded on or subject to the rules of a contract market or DTEF.</w:t>
      </w:r>
    </w:p>
    <w:p>
      <w:pPr>
        <w:pStyle w:val="CG-SingleSp"/>
        <w:numPr>
          <w:ilvl w:val="0"/>
          <w:numId w:val="9"/>
        </w:numPr>
        <w:rPr/>
      </w:pPr>
      <w:r>
        <w:rPr/>
        <w:t xml:space="preserve">To reflect the CFMA, amend the definition of “financial participant” to include FDICIA “clearing organizations” (i.e., DCO’s, MCO’s and securities clearing agencies) and add “financial participants” as entities that are entitled to protections in respect of “swap agreements” and “repurchase agreements” (S. 220 would already add “financial participants” as entities entitled to protections in respect of “securities contracts”, “forward contracts” and “commodity contracts”).  Also, amend the definition of “financial participant” to include entities that enter into “repurchase” and “swap” agreements and meet certain quantitative tests to reflect that “financial participants” are entities entitled to protections in respect of “repurchase” and “swap” agreements. </w:t>
      </w:r>
    </w:p>
    <w:p>
      <w:pPr>
        <w:pStyle w:val="CG-SingleSp"/>
        <w:numPr>
          <w:ilvl w:val="0"/>
          <w:numId w:val="9"/>
        </w:numPr>
        <w:rPr/>
      </w:pPr>
      <w:r>
        <w:rPr/>
        <w:t>To correct a technical error in S. 220, in amendments to Section 362(b) of the Bankruptcy Code made by S.220, replace the phrase “pledged to, and under the control of” with “pledged to, under the control of” each time it appears.</w:t>
      </w:r>
    </w:p>
    <w:p>
      <w:pPr>
        <w:pStyle w:val="CG-SingleSp"/>
        <w:numPr>
          <w:ilvl w:val="0"/>
          <w:numId w:val="9"/>
        </w:numPr>
        <w:rPr/>
      </w:pPr>
      <w:r>
        <w:rPr/>
        <w:t>To reflect the CFMA and promote cross-margining and similar arrangements between various clearing organizations, provide that claims in connection with “commodity contracts,” “swap agreements,” “forward contracts,” “securities contracts” and “repurchase agreements” that are acquired during the 90 days prior to the filing of a petition are eligible for setoff under Section 553 of the Bankruptcy Code.</w:t>
      </w:r>
    </w:p>
    <w:p>
      <w:pPr>
        <w:pStyle w:val="CG-SingleSp"/>
        <w:numPr>
          <w:ilvl w:val="0"/>
          <w:numId w:val="9"/>
        </w:numPr>
        <w:rPr>
          <w:u w:val="single"/>
        </w:rPr>
      </w:pPr>
      <w:r>
        <w:rPr/>
        <w:t>To conform to the CFMA and correct a technical error in S. 220, provide that cross-margining and similar arrangements that have been approved by the CFTC or are in effect and have not been abrogated or rendered ineffective by the CFTC, as well as any other credit enhancement arrangements approved by the CFTC,  are not subject to the preservation of customer priority provisions of new Section 561(b)(2) of the Bankruptcy Code (added by S. 220).</w:t>
      </w:r>
    </w:p>
    <w:p>
      <w:pPr>
        <w:pStyle w:val="CG-SingleSp"/>
        <w:numPr>
          <w:ilvl w:val="0"/>
          <w:numId w:val="9"/>
        </w:numPr>
        <w:rPr>
          <w:u w:val="single"/>
        </w:rPr>
      </w:pPr>
      <w:r>
        <w:rPr>
          <w:lang w:eastAsia="en-US"/>
        </w:rPr>
        <w:t>To reflect the legalization of single-stock futures in the CFMA and their status as both securities and futures, provide the CFTC and SEC with joint rulemaking and exemptive authority under the commodity broker liquidation provisions of the Bankruptcy Code and under the stockbroker liquidation provisions of the Bankruptcy Code and the Securities Investor Protection Act to specify whether, under what circumstances, and to what extent single-stock futures will be treated as securities or futures for purposes of these provisions and to provide for the treatment of accounts in which both securities and futures positions are carried.</w:t>
      </w:r>
    </w:p>
    <w:p>
      <w:pPr>
        <w:pStyle w:val="CG-SingleSp"/>
        <w:rPr>
          <w:u w:val="single"/>
        </w:rPr>
      </w:pPr>
      <w:r>
        <w:rPr>
          <w:u w:val="single"/>
        </w:rPr>
        <w:t>Changes to Federal Deposit Insurance Act</w:t>
      </w:r>
    </w:p>
    <w:p>
      <w:pPr>
        <w:pStyle w:val="CG-SingleSp"/>
        <w:numPr>
          <w:ilvl w:val="0"/>
          <w:numId w:val="9"/>
        </w:numPr>
        <w:rPr/>
      </w:pPr>
      <w:r>
        <w:rPr/>
        <w:t>To reflect the CFMA, amend the definitions of “forward contract,” “securities contract,”“swap agreement,” “commodity contract” and  “repurchase agreement” to include guarantees and reimbursement obligations in connection with such contracts and agreements.</w:t>
      </w:r>
    </w:p>
    <w:p>
      <w:pPr>
        <w:pStyle w:val="CG-SingleSp"/>
        <w:numPr>
          <w:ilvl w:val="0"/>
          <w:numId w:val="9"/>
        </w:numPr>
        <w:rPr/>
      </w:pPr>
      <w:r>
        <w:rPr/>
        <w:t>To reflect the CFMA and to conform to the Bankruptcy Code (as amended by the CFMA and further amended as described above), amend the definition of “commodity contract” in S. 220 to means transactions cleared by DCO’s and MCO’s or traded on or subject to the rules of a contract market, DTEF, DCO or board of trade.  Note that because the FDIA doesn’t address insolvency of clearing organizations, the definition of commodity contract does not need to be “split” as under the Bankruptcy Code as described above.</w:t>
      </w:r>
    </w:p>
    <w:p>
      <w:pPr>
        <w:pStyle w:val="CG-SingleSp"/>
        <w:numPr>
          <w:ilvl w:val="0"/>
          <w:numId w:val="9"/>
        </w:numPr>
        <w:rPr/>
      </w:pPr>
      <w:r>
        <w:rPr/>
        <w:t>To reflect market and regulatory changes, expand the assets that can be the subject of a “repurchase agreement” to include any securities and loans and eliminate the one-year term limitation.</w:t>
      </w:r>
    </w:p>
    <w:p>
      <w:pPr>
        <w:pStyle w:val="CG-SingleSp"/>
        <w:numPr>
          <w:ilvl w:val="0"/>
          <w:numId w:val="9"/>
        </w:numPr>
        <w:rPr/>
      </w:pPr>
      <w:r>
        <w:rPr/>
        <w:t xml:space="preserve">To conform to the definition of “swap agreement” in Title III of the CFMA and the definition of “forward contract” in the existing FDIA and to reflect market changes, amend the definition of “swap agreement” in S. 220. </w:t>
      </w:r>
    </w:p>
    <w:p>
      <w:pPr>
        <w:pStyle w:val="CG-SingleSp"/>
        <w:numPr>
          <w:ilvl w:val="0"/>
          <w:numId w:val="9"/>
        </w:numPr>
        <w:rPr/>
      </w:pPr>
      <w:r>
        <w:rPr/>
        <w:t>To conform to the CFMA, define clearing organization in the provision of S. 220 relating to transfers by the FDIC of contracts of a failed bank subject to the rules of a clearing organization to mean FDICIA “clearing organizations” (i.e., DCO’s, MCO’s and securities clearing agencies).</w:t>
      </w:r>
    </w:p>
    <w:p>
      <w:pPr>
        <w:pStyle w:val="CG-SingleSp"/>
        <w:rPr/>
      </w:pPr>
      <w:r>
        <w:rPr/>
        <w:t>In addition to the above, there are a few section reference changes that will need to be made in S. 220 on account of the CFMA as well as some purely typographical errors that need to be corrected.</w:t>
      </w:r>
    </w:p>
    <w:p>
      <w:pPr>
        <w:pStyle w:val="Normal"/>
        <w:spacing w:lineRule="atLeast" w:line="240"/>
        <w:rPr/>
      </w:pPr>
      <w:r>
        <w:rPr>
          <w:u w:val="single"/>
        </w:rPr>
        <w:t>C</w:t>
      </w:r>
      <w:r>
        <w:rPr>
          <w:color w:val="000000"/>
          <w:u w:val="single"/>
          <w:lang w:eastAsia="en-US"/>
        </w:rPr>
        <w:t>hanges relating to Exceptions from Discharge of Claims Against Corporate Debtors</w:t>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Amend Sections 708 and 321 of S. 220 to make it clear that creditors generally may not claim an exception from discharge on the basis of fraud for their claims against corporate debtors.  Only the U.S. government would be allowed to seek an exception for its claims on that basis.</w:t>
      </w:r>
    </w:p>
    <w:p>
      <w:pPr>
        <w:pStyle w:val="CG-SingleSp"/>
        <w:rPr>
          <w:color w:val="000000"/>
          <w:lang w:eastAsia="en-US"/>
        </w:rPr>
      </w:pPr>
      <w:r>
        <w:rPr>
          <w:color w:val="000000"/>
          <w:lang w:eastAsia="en-US"/>
        </w:rPr>
      </w:r>
      <w:r>
        <w:br w:type="page"/>
      </w:r>
    </w:p>
    <w:p>
      <w:pPr>
        <w:pStyle w:val="CG-SingleSp"/>
        <w:jc w:val="center"/>
        <w:rPr/>
      </w:pPr>
      <w:r>
        <w:rPr/>
        <w:t>SUMMARY OF OTHER CFMA-GENERATED ISSUES</w:t>
      </w:r>
    </w:p>
    <w:p>
      <w:pPr>
        <w:pStyle w:val="CG-SingleSp"/>
        <w:rPr/>
      </w:pPr>
      <w:r>
        <w:rPr/>
      </w:r>
    </w:p>
    <w:p>
      <w:pPr>
        <w:pStyle w:val="CG-SingleSp"/>
        <w:rPr/>
      </w:pPr>
      <w:r>
        <w:rPr/>
        <w:t>There are a number of CFMA-generated issues that are not addressed by the foregoing.  These issues all relate to the insolvency of intermediaries – e.g., broker-dealers, FCMs and clearing organizations.  A few of these issues might be relatively easy to address in S. 220, but most would be difficult.  Since S. 220 does not address insolvency of intermediaries (other than in new Section 561(b)(2) of the Bankruptcy Code), but only close-out rights, however, addressing these issues would seem to be beyond the scope of the current effort.  The CFMA-generated issues not addressed by the foregoing include:</w:t>
      </w:r>
    </w:p>
    <w:p>
      <w:pPr>
        <w:pStyle w:val="CG-SingleSp"/>
        <w:numPr>
          <w:ilvl w:val="0"/>
          <w:numId w:val="4"/>
        </w:numPr>
        <w:rPr/>
      </w:pPr>
      <w:r>
        <w:rPr/>
        <w:t xml:space="preserve">Distributional issues for dual registered entities.  This issue, which already exists, is exacerbated by the legalization of single-stock futures. </w:t>
      </w:r>
    </w:p>
    <w:p>
      <w:pPr>
        <w:pStyle w:val="CG-SingleSp"/>
        <w:numPr>
          <w:ilvl w:val="0"/>
          <w:numId w:val="4"/>
        </w:numPr>
        <w:rPr/>
      </w:pPr>
      <w:r>
        <w:rPr/>
        <w:t>Clarification of distributional scheme in conservatorships and receiverships of MCO’s that are uninsured state member banks or Edge Act corporations and in bankruptcy proceedings of MCO’s that are affiliates of banks.</w:t>
      </w:r>
    </w:p>
    <w:p>
      <w:pPr>
        <w:pStyle w:val="CG-SingleSp"/>
        <w:numPr>
          <w:ilvl w:val="0"/>
          <w:numId w:val="4"/>
        </w:numPr>
        <w:rPr/>
      </w:pPr>
      <w:r>
        <w:rPr/>
        <w:t>Distributional issues in respect of a DCO that clears regulated and unregulated transactions.</w:t>
      </w:r>
    </w:p>
    <w:p>
      <w:pPr>
        <w:pStyle w:val="CG-SingleSp"/>
        <w:numPr>
          <w:ilvl w:val="0"/>
          <w:numId w:val="4"/>
        </w:numPr>
        <w:rPr/>
      </w:pPr>
      <w:r>
        <w:rPr/>
        <w:t>Distributional issues in connection with securities clearing agency insolvencies.</w:t>
      </w:r>
    </w:p>
    <w:p>
      <w:pPr>
        <w:pStyle w:val="CG-SingleSp"/>
        <w:numPr>
          <w:ilvl w:val="0"/>
          <w:numId w:val="4"/>
        </w:numPr>
        <w:rPr/>
      </w:pPr>
      <w:r>
        <w:rPr/>
        <w:t xml:space="preserve">Distributional issues raised by </w:t>
      </w:r>
      <w:r>
        <w:rPr>
          <w:u w:val="single"/>
        </w:rPr>
        <w:t>Griffin Trading</w:t>
      </w:r>
      <w:r>
        <w:rPr/>
        <w:t>.</w:t>
      </w:r>
    </w:p>
    <w:p>
      <w:pPr>
        <w:pStyle w:val="CG-SingleSp"/>
        <w:numPr>
          <w:ilvl w:val="0"/>
          <w:numId w:val="4"/>
        </w:numPr>
        <w:spacing w:before="0" w:after="240"/>
        <w:rPr/>
      </w:pPr>
      <w:r>
        <w:rPr/>
        <w:t>Distributional issues with respect to customers whose property is not required to be segregated pursuant to the new CFMA opt-out provisions.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#870170</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v4]</w:t>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#870170</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v4]</w:t>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TBMA/ISDA STAFF DISCUSSION DRAFT 2/15/01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TBMA/ISDA STAFF DISCUSSION DRAFT 2/16/01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lowerRoman"/>
      <w:lvlText w:val="(%1)"/>
      <w:lvlJc w:val="end"/>
      <w:pPr>
        <w:tabs>
          <w:tab w:val="num" w:pos="504"/>
        </w:tabs>
        <w:ind w:start="504" w:hanging="216"/>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5"/>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6"/>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10"/>
      </w:numPr>
      <w:ind w:hanging="720" w:start="1440" w:end="0"/>
    </w:pPr>
    <w:rPr>
      <w:sz w:val="24"/>
    </w:rPr>
  </w:style>
  <w:style w:type="paragraph" w:styleId="CG-NumberR">
    <w:name w:val="CG-Number R"/>
    <w:basedOn w:val="Normal"/>
    <w:qFormat/>
    <w:pPr>
      <w:numPr>
        <w:ilvl w:val="0"/>
        <w:numId w:val="11"/>
      </w:numPr>
      <w:ind w:hanging="0" w:start="1440" w:end="0"/>
    </w:pPr>
    <w:rPr>
      <w:sz w:val="24"/>
    </w:rPr>
  </w:style>
  <w:style w:type="paragraph" w:styleId="CG-Numberr1">
    <w:name w:val="CG-Number r1"/>
    <w:basedOn w:val="Normal"/>
    <w:qFormat/>
    <w:pPr>
      <w:numPr>
        <w:ilvl w:val="0"/>
        <w:numId w:val="8"/>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2001-02-16T14:09:00Z</dcterms:created>
  <dc:creator>New York Office</dc:creator>
  <dc:description/>
  <dc:language>en-CA</dc:language>
  <cp:lastModifiedBy>New York Office</cp:lastModifiedBy>
  <cp:lastPrinted>2001-02-15T16:34:00Z</cp:lastPrinted>
  <dcterms:modified xsi:type="dcterms:W3CDTF">2001-02-16T14:09:00Z</dcterms:modified>
  <cp:revision>2</cp:revision>
  <dc:subject/>
  <dc:title>Draft 2/8/01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#870170</vt:lpwstr>
  </property>
  <property fmtid="{D5CDD505-2E9C-101B-9397-08002B2CF9AE}" pid="5" name="DocVersion">
    <vt:lpwstr> v4]</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#870170</vt:lpwstr>
  </property>
  <property fmtid="{D5CDD505-2E9C-101B-9397-08002B2CF9AE}" pid="10" name="SaveDocVersion">
    <vt:lpwstr> v4]</vt:lpwstr>
  </property>
  <property fmtid="{D5CDD505-2E9C-101B-9397-08002B2CF9AE}" pid="11" name="SaveFooterRightSideText">
    <vt:lpwstr> </vt:lpwstr>
  </property>
  <property fmtid="{D5CDD505-2E9C-101B-9397-08002B2CF9AE}" pid="12" name="iManageFooter">
    <vt:lpwstr>AllPages</vt:lpwstr>
  </property>
</Properties>
</file>