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rFonts w:ascii="Times New Roman" w:hAnsi="Times New Roman" w:cs="Times New Roman"/>
        </w:rPr>
      </w:pPr>
      <w:r>
        <w:rPr>
          <w:rFonts w:cs="Times New Roman" w:ascii="Times New Roman" w:hAnsi="Times New Roman"/>
        </w:rPr>
        <w:t>UNITED STATES OF AMERICA</w:t>
      </w:r>
    </w:p>
    <w:p>
      <w:pPr>
        <w:pStyle w:val="Normal"/>
        <w:jc w:val="center"/>
        <w:rPr>
          <w:b/>
        </w:rPr>
      </w:pPr>
      <w:r>
        <w:rPr>
          <w:b/>
        </w:rPr>
        <w:t>FEDERAL ENERGY REGULATORY COMMISSION</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9018" w:type="dxa"/>
        <w:jc w:val="start"/>
        <w:tblInd w:w="0" w:type="dxa"/>
        <w:tblLayout w:type="fixed"/>
        <w:tblCellMar>
          <w:top w:w="0" w:type="dxa"/>
          <w:start w:w="108" w:type="dxa"/>
          <w:bottom w:w="0" w:type="dxa"/>
          <w:end w:w="108" w:type="dxa"/>
        </w:tblCellMar>
      </w:tblPr>
      <w:tblGrid>
        <w:gridCol w:w="5148"/>
        <w:gridCol w:w="756"/>
        <w:gridCol w:w="3114"/>
      </w:tblGrid>
      <w:tr>
        <w:trPr/>
        <w:tc>
          <w:tcPr>
            <w:tcW w:w="5148" w:type="dxa"/>
            <w:tcBorders/>
          </w:tcPr>
          <w:p>
            <w:pPr>
              <w:pStyle w:val="Normal"/>
              <w:rPr>
                <w:b/>
              </w:rPr>
            </w:pPr>
            <w:r>
              <w:rPr>
                <w:b/>
              </w:rPr>
              <w:t>San Diego Gas &amp; Electric Company,</w:t>
            </w:r>
          </w:p>
          <w:p>
            <w:pPr>
              <w:pStyle w:val="Normal"/>
              <w:rPr>
                <w:b/>
              </w:rPr>
            </w:pPr>
            <w:r>
              <w:rPr>
                <w:b/>
              </w:rPr>
            </w:r>
          </w:p>
          <w:p>
            <w:pPr>
              <w:pStyle w:val="Normal"/>
              <w:rPr>
                <w:b/>
              </w:rPr>
            </w:pPr>
            <w:r>
              <w:rPr>
                <w:b/>
              </w:rPr>
              <w:tab/>
              <w:tab/>
              <w:tab/>
              <w:tab/>
              <w:t>Complainant,</w:t>
            </w:r>
          </w:p>
          <w:p>
            <w:pPr>
              <w:pStyle w:val="Normal"/>
              <w:rPr>
                <w:b/>
              </w:rPr>
            </w:pPr>
            <w:r>
              <w:rPr>
                <w:b/>
              </w:rPr>
            </w:r>
          </w:p>
          <w:p>
            <w:pPr>
              <w:pStyle w:val="Normal"/>
              <w:rPr>
                <w:b/>
              </w:rPr>
            </w:pPr>
            <w:r>
              <w:rPr>
                <w:b/>
              </w:rPr>
              <w:tab/>
              <w:tab/>
              <w:tab/>
              <w:t>v.</w:t>
            </w:r>
          </w:p>
          <w:p>
            <w:pPr>
              <w:pStyle w:val="Normal"/>
              <w:rPr>
                <w:b/>
              </w:rPr>
            </w:pPr>
            <w:r>
              <w:rPr>
                <w:b/>
              </w:rPr>
            </w:r>
          </w:p>
          <w:p>
            <w:pPr>
              <w:pStyle w:val="Normal"/>
              <w:rPr>
                <w:b/>
              </w:rPr>
            </w:pPr>
            <w:r>
              <w:rPr>
                <w:b/>
              </w:rPr>
              <w:t>Sellers of Energy and Ancillary Service</w:t>
            </w:r>
          </w:p>
          <w:p>
            <w:pPr>
              <w:pStyle w:val="Normal"/>
              <w:rPr>
                <w:b/>
              </w:rPr>
            </w:pPr>
            <w:r>
              <w:rPr>
                <w:b/>
              </w:rPr>
              <w:t>Into Markets Operated by the California Independent System Operator</w:t>
            </w:r>
          </w:p>
          <w:p>
            <w:pPr>
              <w:pStyle w:val="Normal"/>
              <w:rPr>
                <w:b/>
              </w:rPr>
            </w:pPr>
            <w:r>
              <w:rPr>
                <w:b/>
              </w:rPr>
              <w:t>Corporation and the California Power</w:t>
            </w:r>
          </w:p>
          <w:p>
            <w:pPr>
              <w:pStyle w:val="Normal"/>
              <w:rPr>
                <w:b/>
              </w:rPr>
            </w:pPr>
            <w:r>
              <w:rPr>
                <w:b/>
              </w:rPr>
              <w:t>Exchange,</w:t>
            </w:r>
          </w:p>
          <w:p>
            <w:pPr>
              <w:pStyle w:val="Normal"/>
              <w:rPr>
                <w:b/>
              </w:rPr>
            </w:pPr>
            <w:r>
              <w:rPr>
                <w:b/>
              </w:rPr>
            </w:r>
          </w:p>
          <w:p>
            <w:pPr>
              <w:pStyle w:val="Normal"/>
              <w:rPr>
                <w:b/>
              </w:rPr>
            </w:pPr>
            <w:r>
              <w:rPr>
                <w:b/>
              </w:rPr>
              <w:tab/>
              <w:tab/>
              <w:tab/>
              <w:tab/>
              <w:t>Respondents</w:t>
            </w:r>
          </w:p>
          <w:p>
            <w:pPr>
              <w:pStyle w:val="Normal"/>
              <w:rPr>
                <w:b/>
              </w:rPr>
            </w:pPr>
            <w:r>
              <w:rPr>
                <w:b/>
              </w:rPr>
            </w:r>
          </w:p>
          <w:p>
            <w:pPr>
              <w:pStyle w:val="Normal"/>
              <w:rPr>
                <w:b/>
              </w:rPr>
            </w:pPr>
            <w:r>
              <w:rPr>
                <w:b/>
              </w:rPr>
              <w:t>Investigation of Practices of the California</w:t>
            </w:r>
          </w:p>
          <w:p>
            <w:pPr>
              <w:pStyle w:val="Normal"/>
              <w:rPr>
                <w:b/>
              </w:rPr>
            </w:pPr>
            <w:r>
              <w:rPr>
                <w:b/>
              </w:rPr>
              <w:t>Independent  System Operator and the</w:t>
            </w:r>
          </w:p>
          <w:p>
            <w:pPr>
              <w:pStyle w:val="Normal"/>
              <w:rPr>
                <w:b/>
              </w:rPr>
            </w:pPr>
            <w:r>
              <w:rPr>
                <w:b/>
              </w:rPr>
              <w:t>California Power Exchange</w:t>
            </w:r>
          </w:p>
          <w:p>
            <w:pPr>
              <w:pStyle w:val="Normal"/>
              <w:rPr>
                <w:b/>
              </w:rPr>
            </w:pPr>
            <w:r>
              <w:rPr>
                <w:b/>
              </w:rPr>
              <w:t>____________________________________</w:t>
            </w:r>
          </w:p>
        </w:tc>
        <w:tc>
          <w:tcPr>
            <w:tcW w:w="756" w:type="dxa"/>
            <w:tcBorders/>
          </w:tcPr>
          <w:p>
            <w:pPr>
              <w:pStyle w:val="Normal"/>
              <w:rPr>
                <w:b/>
              </w:rPr>
            </w:pPr>
            <w:r>
              <w:rPr>
                <w:b/>
              </w:rPr>
              <w:t>)</w:t>
            </w:r>
          </w:p>
          <w:p>
            <w:pPr>
              <w:pStyle w:val="Normal"/>
              <w:rPr>
                <w:b/>
              </w:rPr>
            </w:pPr>
            <w:r>
              <w:rPr>
                <w:b/>
              </w:rPr>
              <w:t>)</w:t>
              <w:br/>
              <w:t>)</w:t>
              <w:br/>
              <w:t>)</w:t>
              <w:br/>
              <w:t>)</w:t>
              <w:br/>
              <w:t>)</w:t>
              <w:br/>
              <w:t>)</w:t>
              <w:br/>
              <w:t>)</w:t>
              <w:br/>
              <w:t>)</w:t>
              <w:br/>
              <w:t>)</w:t>
              <w:br/>
              <w:t>)</w:t>
              <w:br/>
              <w:t>)</w:t>
              <w:br/>
              <w:t>)</w:t>
            </w:r>
          </w:p>
          <w:p>
            <w:pPr>
              <w:pStyle w:val="Normal"/>
              <w:rPr>
                <w:b/>
              </w:rPr>
            </w:pPr>
            <w:r>
              <w:rPr>
                <w:b/>
              </w:rPr>
              <w:t>)</w:t>
            </w:r>
          </w:p>
          <w:p>
            <w:pPr>
              <w:pStyle w:val="Normal"/>
              <w:rPr>
                <w:b/>
              </w:rPr>
            </w:pPr>
            <w:r>
              <w:rPr>
                <w:b/>
              </w:rPr>
              <w:t>)</w:t>
            </w:r>
          </w:p>
          <w:p>
            <w:pPr>
              <w:pStyle w:val="Normal"/>
              <w:rPr>
                <w:b/>
              </w:rPr>
            </w:pPr>
            <w:r>
              <w:rPr>
                <w:b/>
              </w:rPr>
              <w:t>)</w:t>
            </w:r>
          </w:p>
          <w:p>
            <w:pPr>
              <w:pStyle w:val="Normal"/>
              <w:rPr>
                <w:b/>
              </w:rPr>
            </w:pPr>
            <w:r>
              <w:rPr>
                <w:b/>
              </w:rPr>
              <w:t>)</w:t>
            </w:r>
          </w:p>
        </w:tc>
        <w:tc>
          <w:tcPr>
            <w:tcW w:w="3114" w:type="dxa"/>
            <w:tcBorders/>
          </w:tcPr>
          <w:p>
            <w:pPr>
              <w:pStyle w:val="Normal"/>
              <w:rPr>
                <w:b/>
              </w:rPr>
            </w:pPr>
            <w:r>
              <w:rPr>
                <w:b/>
              </w:rPr>
              <w:t>Docket No. EL00-95-045</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Docket No. EL00-98-042</w:t>
            </w:r>
          </w:p>
        </w:tc>
      </w:tr>
    </w:tbl>
    <w:p>
      <w:pPr>
        <w:pStyle w:val="Normal"/>
        <w:rPr>
          <w:b/>
        </w:rPr>
      </w:pPr>
      <w:r>
        <w:rPr>
          <w:b/>
        </w:rPr>
      </w:r>
    </w:p>
    <w:p>
      <w:pPr>
        <w:pStyle w:val="Heading1"/>
        <w:ind w:hanging="0" w:start="0"/>
        <w:jc w:val="center"/>
        <w:rPr>
          <w:rFonts w:ascii="Times New Roman" w:hAnsi="Times New Roman" w:cs="Times New Roman"/>
        </w:rPr>
      </w:pPr>
      <w:r>
        <w:rPr>
          <w:rFonts w:cs="Times New Roman" w:ascii="Times New Roman" w:hAnsi="Times New Roman"/>
        </w:rPr>
        <w:t xml:space="preserve">SUMMARY OF AFFIDAVIT OF </w:t>
      </w:r>
    </w:p>
    <w:p>
      <w:pPr>
        <w:pStyle w:val="Normal"/>
        <w:jc w:val="center"/>
        <w:rPr>
          <w:b/>
        </w:rPr>
      </w:pPr>
      <w:r>
        <w:rPr>
          <w:b/>
        </w:rPr>
        <w:t>DOUGLAS CALVERT</w:t>
      </w:r>
    </w:p>
    <w:p>
      <w:pPr>
        <w:pStyle w:val="Normal"/>
        <w:jc w:val="center"/>
        <w:rPr>
          <w:b/>
        </w:rPr>
      </w:pPr>
      <w:r>
        <w:rPr>
          <w:b/>
        </w:rPr>
        <w:t>ON BEHALF OF</w:t>
      </w:r>
    </w:p>
    <w:p>
      <w:pPr>
        <w:pStyle w:val="Normal"/>
        <w:jc w:val="center"/>
        <w:rPr>
          <w:b/>
        </w:rPr>
      </w:pPr>
      <w:r>
        <w:rPr>
          <w:b/>
        </w:rPr>
        <w:t>THE SACRAMENTO MUNICIPAL UTILITY DISTRICT</w:t>
      </w:r>
    </w:p>
    <w:p>
      <w:pPr>
        <w:pStyle w:val="Normal"/>
        <w:jc w:val="center"/>
        <w:rPr>
          <w:b/>
        </w:rPr>
      </w:pPr>
      <w:r>
        <w:rPr>
          <w:b/>
        </w:rPr>
      </w:r>
    </w:p>
    <w:p>
      <w:pPr>
        <w:pStyle w:val="Normal"/>
        <w:spacing w:lineRule="auto" w:line="480"/>
        <w:rPr/>
      </w:pPr>
      <w:r>
        <w:rPr>
          <w:b/>
        </w:rPr>
        <w:tab/>
      </w:r>
      <w:r>
        <w:rPr/>
        <w:t>In his Affidavit (Exhibit SMD-3), Mr. Calvert describes the factual circumstances surrounding sales made by the Sacramento Municipal Utility District (“SMUD”) to the California Independent System Operator (“ISO”) pursuant to the Orders of the Department of Energy during the period from October 2, 2000 through June 20, 2001.  He explains that following the issuance of the DOE Orders, the ISO held daily conference calls with transmission owners (“TOs”) and load-serving entities (“LSEs”) to provide the status of the ISO’s ability to maintain reliability of the transmission grid.  Based on the severity of the expected shortage, Mr. Calvert explains, the ISO would hold the calls several times throughout the day to notify TOs and LSEs of expected reserve margins.  During the calls, ISO Staff reminded participants of their obligation to provide excess generation to the ISO under the DOE Orders.  Mr. Calvert further explains that SMUD accepted that the daily phone calls were the mechanism for the ISO to notify participants when the ISO was invoking its authority under the DOE Orders, and it was understood that all sales made by SMUD to the ISO during the period covered by the DOE Orders were pursuant to the DOE Orders.  This is particularly true because the ISO did not provide copies of its Certifications issued pursuant to the DOE Orders by fax or e-mail as stated in the Certifications.  Rather, SMUD was apprised of the ISO’s invocation of authority through the daily conference calls.</w:t>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sz w:val="26"/>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2"/>
    </w:rPr>
  </w:style>
  <w:style w:type="paragraph" w:styleId="Heading5">
    <w:name w:val="heading 5"/>
    <w:basedOn w:val="Normal"/>
    <w:next w:val="Normal"/>
    <w:qFormat/>
    <w:pPr>
      <w:numPr>
        <w:ilvl w:val="4"/>
        <w:numId w:val="1"/>
      </w:numPr>
      <w:spacing w:before="240" w:after="60"/>
      <w:outlineLvl w:val="4"/>
    </w:pPr>
    <w:rPr>
      <w:rFonts w:ascii="Arial" w:hAnsi="Arial" w:cs="Arial"/>
      <w:b/>
      <w:i/>
      <w:sz w:val="22"/>
    </w:rPr>
  </w:style>
  <w:style w:type="paragraph" w:styleId="Heading6">
    <w:name w:val="heading 6"/>
    <w:basedOn w:val="Normal"/>
    <w:next w:val="Normal"/>
    <w:qFormat/>
    <w:pPr>
      <w:numPr>
        <w:ilvl w:val="5"/>
        <w:numId w:val="1"/>
      </w:numPr>
      <w:spacing w:before="240" w:after="60"/>
      <w:outlineLvl w:val="5"/>
    </w:pPr>
    <w:rPr>
      <w:rFonts w:ascii="Arial Narrow" w:hAnsi="Arial Narrow" w:cs="Arial Narrow"/>
      <w:b/>
      <w:sz w:val="22"/>
    </w:rPr>
  </w:style>
  <w:style w:type="paragraph" w:styleId="Heading7">
    <w:name w:val="heading 7"/>
    <w:basedOn w:val="Normal"/>
    <w:next w:val="Normal"/>
    <w:qFormat/>
    <w:pPr>
      <w:numPr>
        <w:ilvl w:val="6"/>
        <w:numId w:val="1"/>
      </w:numPr>
      <w:spacing w:before="240" w:after="60"/>
      <w:outlineLvl w:val="6"/>
    </w:pPr>
    <w:rPr>
      <w:rFonts w:ascii="Arial Narrow" w:hAnsi="Arial Narrow" w:cs="Arial Narrow"/>
      <w:b/>
      <w:i/>
      <w:sz w:val="22"/>
    </w:rPr>
  </w:style>
  <w:style w:type="paragraph" w:styleId="Heading8">
    <w:name w:val="heading 8"/>
    <w:basedOn w:val="Normal"/>
    <w:next w:val="Normal"/>
    <w:qFormat/>
    <w:pPr>
      <w:numPr>
        <w:ilvl w:val="7"/>
        <w:numId w:val="1"/>
      </w:numPr>
      <w:spacing w:before="240" w:after="60"/>
      <w:outlineLvl w:val="7"/>
    </w:pPr>
    <w:rPr>
      <w:rFonts w:ascii="Arial Narrow" w:hAnsi="Arial Narrow" w:cs="Arial Narrow"/>
      <w:b/>
      <w:sz w:val="20"/>
    </w:rPr>
  </w:style>
  <w:style w:type="paragraph" w:styleId="Heading9">
    <w:name w:val="heading 9"/>
    <w:basedOn w:val="Normal"/>
    <w:next w:val="Normal"/>
    <w:qFormat/>
    <w:pPr>
      <w:numPr>
        <w:ilvl w:val="8"/>
        <w:numId w:val="1"/>
      </w:numPr>
      <w:spacing w:before="240" w:after="60"/>
      <w:outlineLvl w:val="8"/>
    </w:pPr>
    <w:rPr>
      <w:rFonts w:ascii="Arial Narrow" w:hAnsi="Arial Narrow" w:cs="Arial Narrow"/>
      <w:b/>
      <w:i/>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FootnoteText">
    <w:name w:val="footnote text"/>
    <w:basedOn w:val="Normal"/>
    <w:pPr/>
    <w:rPr>
      <w:sz w:val="20"/>
    </w:rPr>
  </w:style>
  <w:style w:type="paragraph" w:styleId="FileNameHidden">
    <w:name w:val="FileNameHidden"/>
    <w:basedOn w:val="Normal"/>
    <w:qFormat/>
    <w:pPr/>
    <w:rPr>
      <w:vanish/>
      <w:sz w:val="16"/>
      <w:lang w:val="en-CA"/>
    </w:rPr>
  </w:style>
  <w:style w:type="paragraph" w:styleId="FileNameVisible">
    <w:name w:val="FileNameVisible"/>
    <w:basedOn w:val="Normal"/>
    <w:qFormat/>
    <w:pPr/>
    <w:rPr>
      <w:sz w:val="16"/>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2001-11-06T23:21:00Z</dcterms:created>
  <dc:creator>048</dc:creator>
  <dc:description/>
  <dc:language>en-CA</dc:language>
  <cp:lastModifiedBy>048</cp:lastModifiedBy>
  <cp:lastPrinted>2001-11-06T13:06:00Z</cp:lastPrinted>
  <dcterms:modified xsi:type="dcterms:W3CDTF">2001-11-06T23:21:00Z</dcterms:modified>
  <cp:revision>2</cp:revision>
  <dc:subject/>
  <dc:title>UNITED STATES OF AMERICA</dc:title>
</cp:coreProperties>
</file>