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SECTION-BY-SECTION SUMMARY OF</w:t>
      </w:r>
    </w:p>
    <w:p>
      <w:pPr>
        <w:pStyle w:val="Heading"/>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ELECTRICITY EMERGENCY RELIEF ACT</w:t>
      </w:r>
    </w:p>
    <w:p>
      <w:pPr>
        <w:pStyle w:val="Heading"/>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t>Chairman’s Substitute, May 8, 2001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szCs w:val="28"/>
        </w:rPr>
      </w:pPr>
      <w:r>
        <w:rPr>
          <w:sz w:val="22"/>
          <w:szCs w:val="28"/>
        </w:rPr>
      </w:r>
    </w:p>
    <w:p>
      <w:pPr>
        <w:pStyle w:val="Heading2"/>
        <w:ind w:hanging="0" w:start="0"/>
        <w:jc w:val="start"/>
        <w:rPr>
          <w:smallCaps/>
          <w:sz w:val="22"/>
        </w:rPr>
      </w:pPr>
      <w:r>
        <w:rPr>
          <w:smallCaps/>
          <w:sz w:val="22"/>
        </w:rPr>
        <w:t>Title I – General Measures for Electric Energy Emergencies</w:t>
      </w:r>
    </w:p>
    <w:p>
      <w:pPr>
        <w:pStyle w:val="Normal"/>
        <w:autoSpaceDE w:val="false"/>
        <w:rPr>
          <w:b/>
          <w:bCs/>
          <w:smallCaps/>
          <w:sz w:val="22"/>
          <w:szCs w:val="20"/>
        </w:rPr>
      </w:pPr>
      <w:r>
        <w:rPr>
          <w:b/>
          <w:bCs/>
          <w:smallCaps/>
          <w:sz w:val="22"/>
          <w:szCs w:val="20"/>
        </w:rPr>
      </w:r>
    </w:p>
    <w:p>
      <w:pPr>
        <w:pStyle w:val="Normal"/>
        <w:autoSpaceDE w:val="false"/>
        <w:rPr>
          <w:b/>
          <w:bCs/>
          <w:sz w:val="22"/>
          <w:szCs w:val="20"/>
        </w:rPr>
      </w:pPr>
      <w:r>
        <w:rPr>
          <w:b/>
          <w:bCs/>
          <w:sz w:val="22"/>
          <w:szCs w:val="20"/>
        </w:rPr>
        <w:t>Sec. 101.  Demand Management Agreements Clearinghouse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This section directs the Federal Energy Regulatory Commission (“FERC”) to establish a clearinghouse system to facilitate agreements between wholesale sellers and wholesale purchasers who are willing to forego the purchase of electric energy.  This will provide a venue for those who would auction electric energy to which they have contractual rights.  The new section gives FERC jurisdiction to determine whether sales of foregone consumption are just and reasonable.  The FERC would recommend to Congress by January 1, 2003, whether this section should be extended beyond the termination date of October 1, 2003.</w:t>
      </w:r>
    </w:p>
    <w:p>
      <w:pPr>
        <w:pStyle w:val="Normal"/>
        <w:autoSpaceDE w:val="false"/>
        <w:rPr>
          <w:sz w:val="22"/>
          <w:szCs w:val="20"/>
        </w:rPr>
      </w:pPr>
      <w:r>
        <w:rPr>
          <w:sz w:val="22"/>
          <w:szCs w:val="20"/>
        </w:rPr>
      </w:r>
    </w:p>
    <w:p>
      <w:pPr>
        <w:pStyle w:val="BodyText"/>
        <w:rPr>
          <w:sz w:val="22"/>
        </w:rPr>
      </w:pPr>
      <w:r>
        <w:rPr>
          <w:sz w:val="22"/>
        </w:rPr>
        <w:t>Sec. 102.  Price mitigation in western market through demand management incentives</w:t>
      </w:r>
    </w:p>
    <w:p>
      <w:pPr>
        <w:pStyle w:val="Normal"/>
        <w:autoSpaceDE w:val="false"/>
        <w:rPr/>
      </w:pPr>
      <w:r>
        <w:rPr>
          <w:sz w:val="22"/>
          <w:szCs w:val="20"/>
        </w:rPr>
        <w:t xml:space="preserve">This section directs the FERC to establish a program to allow consumers within the Western Systems Coordinating Council (WSCC) to resell, at just and reasonable prices, a portion of the electricity they would otherwise be entitled to consume under contract or applicable regulation (a “negawatt”).  This provision would give consumers a financial incentive to conserve electricity at precisely the times of day when demand (and market price) peaks by allowing customers with low priced power to sell to buyers in search of power.  The addition of “negawatts” to the market will mean more megawatts of power are available, and will lower prices for all wholesale power during periods of peak demand.  The consumer can resell the foregone electricity to either the consumer’s own local utility or to a third party purchaser.  In cases of resales to third parties, the local utility would make available to the third party the foregone amount of electricity.  Either way, the local utility would receive the same amount of revenue that it would have received if the consumer had not opted to reduce consumption.  The consumer would benefit from conserving electricity, and the resulting demand reduction would have a “cooling” effect on prices by bringing demand back into balance with supply.  The program would expire in October 2003. </w:t>
      </w:r>
      <w:r>
        <w:rPr>
          <w:sz w:val="22"/>
        </w:rPr>
        <w:t xml:space="preserve">The WSCC region includes all or parts of Washington, Oregon, California, Idaho, Nevada, Montana, Wyoming, Utah, Arizona, Colorado, New Mexico, South Dakota, and Nebraska.  </w:t>
      </w:r>
      <w:r>
        <w:rPr>
          <w:sz w:val="22"/>
          <w:szCs w:val="20"/>
        </w:rPr>
        <w:t xml:space="preserve"> </w:t>
      </w:r>
    </w:p>
    <w:p>
      <w:pPr>
        <w:pStyle w:val="Normal"/>
        <w:autoSpaceDE w:val="false"/>
        <w:rPr>
          <w:sz w:val="22"/>
          <w:szCs w:val="20"/>
        </w:rPr>
      </w:pPr>
      <w:r>
        <w:rPr>
          <w:sz w:val="22"/>
          <w:szCs w:val="20"/>
        </w:rPr>
      </w:r>
    </w:p>
    <w:p>
      <w:pPr>
        <w:pStyle w:val="Heading3"/>
        <w:ind w:hanging="0" w:start="0"/>
        <w:rPr>
          <w:sz w:val="22"/>
        </w:rPr>
      </w:pPr>
      <w:r>
        <w:rPr>
          <w:sz w:val="22"/>
        </w:rPr>
        <w:t>Sec. 103.  Transmission constraints study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 xml:space="preserve">This Section directs the Secretary of Energy and the FERC to conduct a joint study of transmission congestion and develop a plan to relieve constraints and report to Congress within 6 months after enactment. </w:t>
      </w:r>
    </w:p>
    <w:p>
      <w:pPr>
        <w:pStyle w:val="Normal"/>
        <w:autoSpaceDE w:val="false"/>
        <w:rPr>
          <w:sz w:val="22"/>
          <w:szCs w:val="20"/>
        </w:rPr>
      </w:pPr>
      <w:r>
        <w:rPr>
          <w:sz w:val="22"/>
          <w:szCs w:val="20"/>
        </w:rPr>
      </w:r>
    </w:p>
    <w:p>
      <w:pPr>
        <w:pStyle w:val="Heading3"/>
        <w:ind w:hanging="0" w:start="0"/>
        <w:rPr>
          <w:sz w:val="22"/>
        </w:rPr>
      </w:pPr>
      <w:r>
        <w:rPr>
          <w:sz w:val="22"/>
        </w:rPr>
        <w:t>Sec. 104.  Path 15 transmission expansion</w:t>
      </w:r>
    </w:p>
    <w:p>
      <w:pPr>
        <w:pStyle w:val="Normal"/>
        <w:rPr>
          <w:sz w:val="22"/>
        </w:rPr>
      </w:pPr>
      <w:r>
        <w:rPr>
          <w:sz w:val="22"/>
          <w:szCs w:val="20"/>
        </w:rPr>
        <w:t xml:space="preserve">The Western Area Power Administration (WAPA) is authorized $220 million to expand WAPA’s transmission system to reduce the constraint in California along the so-called “Path 15.”  Costs would be recovered from transmission fees, sale of transmission assets, or both.  WAPA is required to adhere to state laws and regulations regarding the siting of new transmission.  </w:t>
      </w:r>
    </w:p>
    <w:p>
      <w:pPr>
        <w:pStyle w:val="Normal"/>
        <w:autoSpaceDE w:val="false"/>
        <w:rPr>
          <w:sz w:val="22"/>
          <w:szCs w:val="20"/>
        </w:rPr>
      </w:pPr>
      <w:r>
        <w:rPr>
          <w:sz w:val="22"/>
          <w:szCs w:val="20"/>
        </w:rPr>
      </w:r>
    </w:p>
    <w:p>
      <w:pPr>
        <w:pStyle w:val="Heading3"/>
        <w:ind w:hanging="0" w:start="0"/>
        <w:rPr>
          <w:sz w:val="22"/>
        </w:rPr>
      </w:pPr>
      <w:r>
        <w:rPr>
          <w:sz w:val="22"/>
        </w:rPr>
        <w:t>Sec. 105.  Tribal energy office</w:t>
      </w:r>
    </w:p>
    <w:p>
      <w:pPr>
        <w:pStyle w:val="Normal"/>
        <w:rPr>
          <w:sz w:val="22"/>
          <w:szCs w:val="20"/>
        </w:rPr>
      </w:pPr>
      <w:r>
        <w:rPr>
          <w:sz w:val="22"/>
          <w:szCs w:val="20"/>
        </w:rPr>
        <w:t>The Department of Energy (DOE) is directed to establish an Office of Tribal Energy to promote tribal energy efficiency, advise the Secretary on development of energy resources on tribal land, assist Indian tribes with such development, and coordinate with other Federal agencies. </w:t>
      </w:r>
    </w:p>
    <w:p>
      <w:pPr>
        <w:pStyle w:val="Normal"/>
        <w:autoSpaceDE w:val="false"/>
        <w:rPr>
          <w:sz w:val="22"/>
          <w:szCs w:val="20"/>
        </w:rPr>
      </w:pPr>
      <w:r>
        <w:rPr>
          <w:sz w:val="22"/>
          <w:szCs w:val="20"/>
        </w:rPr>
      </w:r>
    </w:p>
    <w:p>
      <w:pPr>
        <w:pStyle w:val="Normal"/>
        <w:autoSpaceDE w:val="false"/>
        <w:rPr>
          <w:sz w:val="22"/>
          <w:szCs w:val="20"/>
        </w:rPr>
      </w:pPr>
      <w:r>
        <w:rPr>
          <w:sz w:val="22"/>
          <w:szCs w:val="20"/>
        </w:rPr>
      </w:r>
    </w:p>
    <w:p>
      <w:pPr>
        <w:pStyle w:val="Heading3"/>
        <w:ind w:hanging="0" w:start="0"/>
        <w:rPr>
          <w:sz w:val="22"/>
        </w:rPr>
      </w:pPr>
      <w:r>
        <w:rPr>
          <w:sz w:val="22"/>
        </w:rPr>
        <w:t>Sec. 106.  Guarantee of payment required for certain emergency power sales</w:t>
      </w:r>
    </w:p>
    <w:p>
      <w:pPr>
        <w:pStyle w:val="Normal"/>
        <w:autoSpaceDE w:val="false"/>
        <w:rPr>
          <w:sz w:val="22"/>
          <w:szCs w:val="20"/>
        </w:rPr>
      </w:pPr>
      <w:r>
        <w:rPr>
          <w:sz w:val="22"/>
          <w:szCs w:val="20"/>
        </w:rPr>
        <w:t xml:space="preserve">This section will ensure that payment is made to persons required to generate power pursuant to an emergency order.  The generator will be paid the full purchase price for their power or, if that is disputed, a fair and equitable price as determined by the President for natural gas, or a just and reasonable price as determined by the Secretary of Energy or the FERC for electric energy.  </w:t>
      </w:r>
    </w:p>
    <w:p>
      <w:pPr>
        <w:pStyle w:val="Normal"/>
        <w:autoSpaceDE w:val="false"/>
        <w:ind w:firstLine="720" w:end="0"/>
        <w:rPr>
          <w:sz w:val="22"/>
          <w:szCs w:val="20"/>
        </w:rPr>
      </w:pPr>
      <w:r>
        <w:rPr>
          <w:sz w:val="22"/>
        </w:rPr>
        <w:tab/>
      </w:r>
    </w:p>
    <w:p>
      <w:pPr>
        <w:pStyle w:val="Heading3"/>
        <w:ind w:hanging="0" w:start="0"/>
        <w:rPr>
          <w:sz w:val="22"/>
        </w:rPr>
      </w:pPr>
      <w:r>
        <w:rPr>
          <w:sz w:val="22"/>
        </w:rPr>
        <w:t>Sec. 107.  Sale of transmission assets to State of California</w:t>
      </w:r>
    </w:p>
    <w:p>
      <w:pPr>
        <w:pStyle w:val="Normal"/>
        <w:rPr>
          <w:sz w:val="22"/>
          <w:szCs w:val="20"/>
        </w:rPr>
      </w:pPr>
      <w:r>
        <w:rPr>
          <w:sz w:val="22"/>
          <w:szCs w:val="20"/>
        </w:rPr>
        <w:t>If the State of California acquires transmission facilities from a “public utility,” the State shall be subject to the same jurisdiction, with respect to those facilities, as would be a public utility. </w:t>
      </w:r>
    </w:p>
    <w:p>
      <w:pPr>
        <w:pStyle w:val="Normal"/>
        <w:autoSpaceDE w:val="false"/>
        <w:rPr>
          <w:sz w:val="22"/>
          <w:szCs w:val="20"/>
        </w:rPr>
      </w:pPr>
      <w:r>
        <w:rPr>
          <w:sz w:val="22"/>
          <w:szCs w:val="20"/>
        </w:rPr>
      </w:r>
    </w:p>
    <w:p>
      <w:pPr>
        <w:pStyle w:val="Heading2"/>
        <w:ind w:hanging="0" w:start="0"/>
        <w:jc w:val="start"/>
        <w:rPr>
          <w:smallCaps/>
          <w:sz w:val="22"/>
        </w:rPr>
      </w:pPr>
      <w:r>
        <w:rPr>
          <w:smallCaps/>
          <w:sz w:val="22"/>
        </w:rPr>
        <w:t>Title II – Federal Assistance</w:t>
      </w:r>
    </w:p>
    <w:p>
      <w:pPr>
        <w:pStyle w:val="Normal"/>
        <w:autoSpaceDE w:val="false"/>
        <w:rPr>
          <w:smallCaps/>
          <w:sz w:val="22"/>
          <w:szCs w:val="20"/>
        </w:rPr>
      </w:pPr>
      <w:r>
        <w:rPr>
          <w:smallCaps/>
          <w:sz w:val="22"/>
          <w:szCs w:val="20"/>
        </w:rPr>
      </w:r>
    </w:p>
    <w:p>
      <w:pPr>
        <w:pStyle w:val="Heading4"/>
        <w:ind w:hanging="0" w:start="0"/>
        <w:rPr>
          <w:sz w:val="22"/>
        </w:rPr>
      </w:pPr>
      <w:r>
        <w:rPr>
          <w:sz w:val="22"/>
        </w:rPr>
        <w:t>Sec. 201.  Emergency conservation awareness</w:t>
      </w:r>
    </w:p>
    <w:p>
      <w:pPr>
        <w:pStyle w:val="Normal"/>
        <w:rPr>
          <w:sz w:val="22"/>
          <w:szCs w:val="20"/>
        </w:rPr>
      </w:pPr>
      <w:r>
        <w:rPr>
          <w:sz w:val="22"/>
          <w:szCs w:val="20"/>
        </w:rPr>
        <w:t>The Secretary of Energy is authorized and directed to conduct an energy conservation educational campaign in certain geographic areas addressing the likelihood and consequences of electricity shortages and recommending specific conservation measures to help avert blackouts.  The section requires that any such activities be coordinated with similar state actions.</w:t>
      </w:r>
    </w:p>
    <w:p>
      <w:pPr>
        <w:pStyle w:val="Normal"/>
        <w:rPr>
          <w:sz w:val="22"/>
          <w:szCs w:val="20"/>
        </w:rPr>
      </w:pPr>
      <w:r>
        <w:rPr>
          <w:sz w:val="22"/>
          <w:szCs w:val="20"/>
        </w:rPr>
        <w:t> </w:t>
      </w:r>
    </w:p>
    <w:p>
      <w:pPr>
        <w:pStyle w:val="Heading4"/>
        <w:ind w:hanging="0" w:start="0"/>
        <w:rPr>
          <w:sz w:val="22"/>
        </w:rPr>
      </w:pPr>
      <w:r>
        <w:rPr>
          <w:sz w:val="22"/>
        </w:rPr>
        <w:t>Sec. 202.  Preparation for electricity blackouts</w:t>
      </w:r>
    </w:p>
    <w:p>
      <w:pPr>
        <w:pStyle w:val="Normal"/>
        <w:rPr>
          <w:sz w:val="22"/>
          <w:szCs w:val="20"/>
        </w:rPr>
      </w:pPr>
      <w:r>
        <w:rPr>
          <w:sz w:val="22"/>
          <w:szCs w:val="20"/>
        </w:rPr>
        <w:t xml:space="preserve">The Secretary of Energy, in coordination with the Federal Emergency Management Agency (FEMA), is authorized and directed to initiate emergency planning in States expected to face electricity shortages.  The section requires that FEMA’s activities be in conjunction with similar state planning. </w:t>
      </w:r>
    </w:p>
    <w:p>
      <w:pPr>
        <w:pStyle w:val="Normal"/>
        <w:rPr>
          <w:sz w:val="22"/>
          <w:szCs w:val="20"/>
        </w:rPr>
      </w:pPr>
      <w:r>
        <w:rPr>
          <w:sz w:val="22"/>
          <w:szCs w:val="20"/>
        </w:rPr>
        <w:t> </w:t>
      </w:r>
    </w:p>
    <w:p>
      <w:pPr>
        <w:pStyle w:val="Heading3"/>
        <w:ind w:hanging="0" w:start="0"/>
        <w:rPr>
          <w:sz w:val="22"/>
        </w:rPr>
      </w:pPr>
      <w:r>
        <w:rPr>
          <w:sz w:val="22"/>
        </w:rPr>
        <w:t>Sec. 203.  Conservation at Federal facilities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 xml:space="preserve">The Federal government shall apply energy conservation measures to Federal facilities in States in which an electricity emergency has been declared by the Governor.  Each agency would reduce electricity consumption at least 10 percent per gross square foot compared to the same time period in the most recent year before a declared emergency.  This section sunsets on October 1, 2003.  </w:t>
      </w:r>
    </w:p>
    <w:p>
      <w:pPr>
        <w:pStyle w:val="Normal"/>
        <w:rPr>
          <w:sz w:val="22"/>
          <w:szCs w:val="20"/>
        </w:rPr>
      </w:pPr>
      <w:r>
        <w:rPr>
          <w:sz w:val="22"/>
          <w:szCs w:val="20"/>
        </w:rPr>
        <w:t> </w:t>
      </w:r>
    </w:p>
    <w:p>
      <w:pPr>
        <w:pStyle w:val="Heading3"/>
        <w:ind w:hanging="0" w:start="0"/>
        <w:rPr>
          <w:sz w:val="22"/>
        </w:rPr>
      </w:pPr>
      <w:r>
        <w:rPr>
          <w:sz w:val="22"/>
        </w:rPr>
        <w:t>Sec. 204.  Daylight savings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These provisions, taken from H.R. 704 (Sherman), allow the States of California, Nevada, Oregon, and Washington to adjust their Standard time upon a finding that doing so will help alleviate an electricity crisis.  This section expires December 31, 2003.</w:t>
      </w:r>
    </w:p>
    <w:p>
      <w:pPr>
        <w:pStyle w:val="Normal"/>
        <w:rPr>
          <w:sz w:val="22"/>
          <w:szCs w:val="20"/>
        </w:rPr>
      </w:pPr>
      <w:r>
        <w:rPr>
          <w:sz w:val="22"/>
          <w:szCs w:val="20"/>
        </w:rPr>
        <w:t> </w:t>
      </w:r>
    </w:p>
    <w:p>
      <w:pPr>
        <w:pStyle w:val="Heading3"/>
        <w:ind w:hanging="0" w:start="0"/>
        <w:rPr>
          <w:sz w:val="22"/>
        </w:rPr>
      </w:pPr>
      <w:r>
        <w:rPr>
          <w:sz w:val="22"/>
        </w:rPr>
        <w:t>Sec. 205.  PURPA contracts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Going forward after the date of enactment, Qualifying facilities (QFs) under the Public Utility Regulatory Policies Act (PURPA) who have not been paid within the time period specified in their contract may sell power to third parties.  This will temporarily suspend the contract when a utility is unable to meet the payment terms of a power purchase agreement.  This section will avoid a repeat of California’s recent problem in which the QF’s were financially unable to operate.  The QF is required to resume sales under its contract upon the first of: 1) payment in full for all sales, 2) judicial resolution, or 3) a negotiated settlement.</w:t>
      </w:r>
    </w:p>
    <w:p>
      <w:pPr>
        <w:pStyle w:val="Normal"/>
        <w:autoSpaceDE w:val="false"/>
        <w:rPr>
          <w:sz w:val="22"/>
          <w:szCs w:val="20"/>
        </w:rPr>
      </w:pPr>
      <w:r>
        <w:rPr>
          <w:sz w:val="22"/>
          <w:szCs w:val="20"/>
        </w:rPr>
      </w:r>
    </w:p>
    <w:p>
      <w:pPr>
        <w:pStyle w:val="Heading2"/>
        <w:ind w:hanging="0" w:start="0"/>
        <w:jc w:val="start"/>
        <w:rPr>
          <w:smallCaps/>
          <w:sz w:val="22"/>
        </w:rPr>
      </w:pPr>
      <w:r>
        <w:rPr>
          <w:smallCaps/>
          <w:sz w:val="22"/>
        </w:rPr>
        <w:t>Title III – Federal Assistance Available Upon a Governor’s Request</w:t>
      </w:r>
    </w:p>
    <w:p>
      <w:pPr>
        <w:pStyle w:val="Normal"/>
        <w:autoSpaceDE w:val="false"/>
        <w:rPr>
          <w:smallCaps/>
          <w:sz w:val="22"/>
          <w:szCs w:val="20"/>
        </w:rPr>
      </w:pPr>
      <w:r>
        <w:rPr>
          <w:smallCaps/>
          <w:sz w:val="22"/>
          <w:szCs w:val="20"/>
        </w:rPr>
      </w:r>
    </w:p>
    <w:p>
      <w:pPr>
        <w:pStyle w:val="Heading3"/>
        <w:ind w:hanging="0" w:start="0"/>
        <w:rPr>
          <w:sz w:val="22"/>
        </w:rPr>
      </w:pPr>
      <w:r>
        <w:rPr>
          <w:sz w:val="22"/>
        </w:rPr>
        <w:t>Sec. 301.  Federal generation during State emergencies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Upon the request by a Governor who has declared an electricity emergency, the Secretary of Energy may authorize any Federal facility to generate electricity for self-consumption or for sales to the State, so long as reimbursement is assured by the recipient or by a State government.</w:t>
      </w:r>
    </w:p>
    <w:p>
      <w:pPr>
        <w:pStyle w:val="Normal"/>
        <w:autoSpaceDE w:val="false"/>
        <w:rPr>
          <w:sz w:val="22"/>
          <w:szCs w:val="20"/>
        </w:rPr>
      </w:pPr>
      <w:r>
        <w:rPr>
          <w:sz w:val="22"/>
          <w:szCs w:val="20"/>
        </w:rPr>
      </w:r>
    </w:p>
    <w:p>
      <w:pPr>
        <w:pStyle w:val="Heading3"/>
        <w:ind w:hanging="0" w:start="0"/>
        <w:rPr>
          <w:sz w:val="22"/>
        </w:rPr>
      </w:pPr>
      <w:r>
        <w:rPr>
          <w:sz w:val="22"/>
        </w:rPr>
        <w:t>Sec. 302.  Emergency generation</w:t>
      </w:r>
    </w:p>
    <w:p>
      <w:pPr>
        <w:pStyle w:val="Normal"/>
        <w:autoSpaceDE w:val="false"/>
        <w:rPr>
          <w:sz w:val="22"/>
        </w:rPr>
      </w:pPr>
      <w:r>
        <w:rPr>
          <w:sz w:val="22"/>
        </w:rPr>
        <w:t xml:space="preserve">This section creates a limited provision that allows the Governor of California to waive on high electric emergency days certain NOx emission requirements on natural gas-fired power plants while maintaining local air quality standards required under the federal Clean Air Act.  Specifically, the Governor of California has maximum flexibility to allow the continued electricity generation from natural gas-fired facilities on Stage III days during which blackouts are imminent.  NOx emission offsets must be obtained to meet any NOx reductions required under the federal Clean Air Act.   The Governor must submit a report on the actions taken under this section and their effect on air quality, as well as submit an amendment to the state implementation plan, if necessary.  The section does not affect California’s existing NOx mitigation fee program and sunsets two years after enactment. </w:t>
      </w:r>
    </w:p>
    <w:p>
      <w:pPr>
        <w:pStyle w:val="Normal"/>
        <w:autoSpaceDE w:val="false"/>
        <w:rPr>
          <w:sz w:val="22"/>
          <w:szCs w:val="20"/>
        </w:rPr>
      </w:pPr>
      <w:r>
        <w:rPr>
          <w:sz w:val="22"/>
          <w:szCs w:val="20"/>
        </w:rPr>
      </w:r>
    </w:p>
    <w:p>
      <w:pPr>
        <w:pStyle w:val="Heading4"/>
        <w:ind w:hanging="0" w:start="0"/>
        <w:rPr>
          <w:sz w:val="22"/>
        </w:rPr>
      </w:pPr>
      <w:r>
        <w:rPr>
          <w:sz w:val="22"/>
        </w:rPr>
        <w:t>Sec. 303.  Regional transmission organization in western region</w:t>
      </w:r>
    </w:p>
    <w:p>
      <w:pPr>
        <w:pStyle w:val="Normal"/>
        <w:ind w:end="-720"/>
        <w:rPr/>
      </w:pPr>
      <w:r>
        <w:rPr>
          <w:sz w:val="22"/>
          <w:szCs w:val="20"/>
        </w:rPr>
        <w:t xml:space="preserve">This requires </w:t>
      </w:r>
      <w:r>
        <w:rPr>
          <w:sz w:val="22"/>
        </w:rPr>
        <w:t>full participation in a Western-wide regional transmission organization (RTO) upon agreement by at least ten of thirteen Governors within the Western Systems Coordinating Council (WSCC).  Federal transmission facilities would be authorized and directed to participate in the subsequent RTO, as would municipally-owned entities and cooperatives owning or operating transmission facilities within the region.  The requirement for participation is sunset 3 years after the RTO is established.</w:t>
      </w:r>
    </w:p>
    <w:p>
      <w:pPr>
        <w:pStyle w:val="Normal"/>
        <w:autoSpaceDE w:val="false"/>
        <w:rPr>
          <w:sz w:val="22"/>
          <w:szCs w:val="20"/>
        </w:rPr>
      </w:pPr>
      <w:r>
        <w:rPr>
          <w:sz w:val="22"/>
          <w:szCs w:val="20"/>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widowControl w:val="false"/>
      <w:numPr>
        <w:ilvl w:val="0"/>
        <w:numId w:val="1"/>
      </w:numPr>
      <w:autoSpaceDE w:val="false"/>
      <w:outlineLvl w:val="0"/>
    </w:pPr>
    <w:rPr>
      <w:sz w:val="20"/>
    </w:rPr>
  </w:style>
  <w:style w:type="paragraph" w:styleId="Heading2">
    <w:name w:val="heading 2"/>
    <w:basedOn w:val="Normal"/>
    <w:next w:val="Normal"/>
    <w:qFormat/>
    <w:pPr>
      <w:keepNext w:val="true"/>
      <w:numPr>
        <w:ilvl w:val="1"/>
        <w:numId w:val="1"/>
      </w:numPr>
      <w:autoSpaceDE w:val="false"/>
      <w:jc w:val="center"/>
      <w:outlineLvl w:val="1"/>
    </w:pPr>
    <w:rPr>
      <w:b/>
      <w:bCs/>
      <w:szCs w:val="20"/>
    </w:rPr>
  </w:style>
  <w:style w:type="paragraph" w:styleId="Heading3">
    <w:name w:val="heading 3"/>
    <w:basedOn w:val="Normal"/>
    <w:next w:val="Normal"/>
    <w:qFormat/>
    <w:pPr>
      <w:keepNext w:val="true"/>
      <w:numPr>
        <w:ilvl w:val="2"/>
        <w:numId w:val="1"/>
      </w:numPr>
      <w:autoSpaceDE w:val="false"/>
      <w:outlineLvl w:val="2"/>
    </w:pPr>
    <w:rPr>
      <w:b/>
      <w:bCs/>
      <w:szCs w:val="20"/>
    </w:rPr>
  </w:style>
  <w:style w:type="paragraph" w:styleId="Heading4">
    <w:name w:val="heading 4"/>
    <w:basedOn w:val="Normal"/>
    <w:next w:val="Normal"/>
    <w:qFormat/>
    <w:pPr>
      <w:keepNext w:val="true"/>
      <w:numPr>
        <w:ilvl w:val="3"/>
        <w:numId w:val="1"/>
      </w:numPr>
      <w:outlineLvl w:val="3"/>
    </w:pPr>
    <w:rPr>
      <w:b/>
      <w:bCs/>
      <w:szCs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widowControl w:val="false"/>
      <w:autoSpaceDE w:val="false"/>
      <w:jc w:val="center"/>
    </w:pPr>
    <w:rPr>
      <w:sz w:val="28"/>
      <w:szCs w:val="28"/>
    </w:rPr>
  </w:style>
  <w:style w:type="paragraph" w:styleId="BodyText">
    <w:name w:val="Body Text"/>
    <w:basedOn w:val="Normal"/>
    <w:pPr>
      <w:autoSpaceDE w:val="false"/>
    </w:pPr>
    <w:rPr>
      <w:b/>
      <w:bCs/>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verflowPunct w:val="false"/>
      <w:autoSpaceDE w:val="false"/>
      <w:ind w:firstLine="720" w:start="0" w:end="0"/>
      <w:jc w:val="both"/>
      <w:textAlignment w:val="baseline"/>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2001-05-08T20:12:00Z</dcterms:created>
  <dc:creator>Andy Black</dc:creator>
  <dc:description/>
  <dc:language>en-CA</dc:language>
  <cp:lastModifiedBy>Andy Black</cp:lastModifiedBy>
  <cp:lastPrinted>2001-05-08T18:30:00Z</cp:lastPrinted>
  <dcterms:modified xsi:type="dcterms:W3CDTF">2001-05-08T20:12:00Z</dcterms:modified>
  <cp:revision>2</cp:revision>
  <dc:subject/>
  <dc:title>303</dc:title>
</cp:coreProperties>
</file>