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Changes to H.R.1647 in the Amendment in the Nature of a Substitute</w:t>
      </w:r>
    </w:p>
    <w:p>
      <w:pPr>
        <w:pStyle w:val="Normal"/>
        <w:rPr/>
      </w:pPr>
      <w:r>
        <w:rPr/>
      </w:r>
    </w:p>
    <w:p>
      <w:pPr>
        <w:pStyle w:val="Heading1"/>
        <w:ind w:hanging="0" w:start="0"/>
        <w:rPr/>
      </w:pPr>
      <w:r>
        <w:rPr/>
        <w:t>Section 101.  Demand Management Agreements Clearinghouse</w:t>
      </w:r>
    </w:p>
    <w:p>
      <w:pPr>
        <w:pStyle w:val="Normal"/>
        <w:rPr/>
      </w:pPr>
      <w:r>
        <w:rPr/>
        <w:t>Section b revised – “(b) COMPENSATION - The clearinghouse system established under this section shall provide for the sale at wholesale to other purchasers of the electric energy referred to in subsection (a) at rates that are just, reasonable, and not unduly discriminatory or preferential, as determined by the Commission.  The Commission shall establish the rates, charges, and classifications for such sales by rule or order pursuant to this section, no later than 30 days after enactment of this Act.”</w:t>
      </w:r>
    </w:p>
    <w:p>
      <w:pPr>
        <w:pStyle w:val="Normal"/>
        <w:rPr/>
      </w:pPr>
      <w:r>
        <w:rPr/>
      </w:r>
    </w:p>
    <w:p>
      <w:pPr>
        <w:pStyle w:val="Normal"/>
        <w:rPr/>
      </w:pPr>
      <w:r>
        <w:rPr/>
        <w:t>Section c struck</w:t>
      </w:r>
    </w:p>
    <w:p>
      <w:pPr>
        <w:pStyle w:val="Normal"/>
        <w:rPr/>
      </w:pPr>
      <w:r>
        <w:rPr/>
      </w:r>
    </w:p>
    <w:p>
      <w:pPr>
        <w:pStyle w:val="BodyText"/>
        <w:rPr/>
      </w:pPr>
      <w:r>
        <w:rPr/>
        <w:t>Section 102.  Price Mitigation in Western Market Through Demand Management Incentives</w:t>
      </w:r>
    </w:p>
    <w:p>
      <w:pPr>
        <w:pStyle w:val="Normal"/>
        <w:rPr/>
      </w:pPr>
      <w:r>
        <w:rPr/>
        <w:t>Section a revised – Page 4, line 15 strike “at market prices” and on page 5, line 8, after the period insert” “The Commission shall establish the rates, charges, and classifications for such sales by rule or order pursuant to this section, no later than 30 days after enactment of this Act.”</w:t>
      </w:r>
    </w:p>
    <w:p>
      <w:pPr>
        <w:pStyle w:val="Normal"/>
        <w:rPr/>
      </w:pPr>
      <w:r>
        <w:rPr/>
      </w:r>
    </w:p>
    <w:p>
      <w:pPr>
        <w:pStyle w:val="Normal"/>
        <w:rPr/>
      </w:pPr>
      <w:r>
        <w:rPr/>
        <w:t>Section b revised – Page 5, line 23, strike “the Federal Power Act (16 U.S.C. 792 and following) or the”</w:t>
      </w:r>
    </w:p>
    <w:p>
      <w:pPr>
        <w:pStyle w:val="Normal"/>
        <w:rPr/>
      </w:pPr>
      <w:r>
        <w:rPr/>
      </w:r>
    </w:p>
    <w:p>
      <w:pPr>
        <w:pStyle w:val="Normal"/>
        <w:rPr/>
      </w:pPr>
      <w:r>
        <w:rPr/>
        <w:t>Section c revised - different definition of electric utility</w:t>
      </w:r>
    </w:p>
    <w:p>
      <w:pPr>
        <w:pStyle w:val="Normal"/>
        <w:rPr/>
      </w:pPr>
      <w:r>
        <w:rPr/>
        <w:t>“</w:t>
      </w:r>
      <w:r>
        <w:rPr/>
        <w:t>C) DEFINITIONS.- As used in this section:</w:t>
      </w:r>
    </w:p>
    <w:p>
      <w:pPr>
        <w:pStyle w:val="Normal"/>
        <w:ind w:firstLine="720" w:end="0"/>
        <w:rPr/>
      </w:pPr>
      <w:r>
        <w:rPr/>
        <w:t xml:space="preserve">1) The term “electric utility” shall have the meaning provided by section 3 of the Public Utility Regulatory Policies Act of 1978 (16 U.S.C. 2602). </w:t>
      </w:r>
    </w:p>
    <w:p>
      <w:pPr>
        <w:pStyle w:val="Normal"/>
        <w:rPr/>
      </w:pPr>
      <w:r>
        <w:rPr/>
        <w:tab/>
        <w:t>2) The term “electric consumer” means any person, State agency or Federal agency, to which electric energy is sold other than for purposes of resale (other than a sale for resale under this section).”</w:t>
      </w:r>
    </w:p>
    <w:p>
      <w:pPr>
        <w:pStyle w:val="Normal"/>
        <w:rPr/>
      </w:pPr>
      <w:r>
        <w:rPr/>
      </w:r>
    </w:p>
    <w:p>
      <w:pPr>
        <w:pStyle w:val="Heading1"/>
        <w:ind w:hanging="0" w:start="0"/>
        <w:rPr/>
      </w:pPr>
      <w:r>
        <w:rPr/>
        <w:t>Section 104.  PATH 15 Transmission Expansion</w:t>
      </w:r>
    </w:p>
    <w:p>
      <w:pPr>
        <w:pStyle w:val="Normal"/>
        <w:rPr/>
      </w:pPr>
      <w:r>
        <w:rPr/>
        <w:t>Section a revised - Page 7, line 9, after the period, insert “WAPA shall carry out its responsibilities under this section in coordination with State authorities and shall be subject to applicable State siting and other requirements.”</w:t>
      </w:r>
    </w:p>
    <w:p>
      <w:pPr>
        <w:pStyle w:val="Normal"/>
        <w:rPr/>
      </w:pPr>
      <w:r>
        <w:rPr/>
      </w:r>
    </w:p>
    <w:p>
      <w:pPr>
        <w:pStyle w:val="Normal"/>
        <w:rPr/>
      </w:pPr>
      <w:r>
        <w:rPr/>
        <w:t>Section a revised – Page 7, line 12, strike “subsection” and insert “section”</w:t>
      </w:r>
    </w:p>
    <w:p>
      <w:pPr>
        <w:pStyle w:val="Normal"/>
        <w:rPr/>
      </w:pPr>
      <w:r>
        <w:rPr/>
      </w:r>
    </w:p>
    <w:p>
      <w:pPr>
        <w:pStyle w:val="Heading1"/>
        <w:ind w:hanging="0" w:start="0"/>
        <w:rPr/>
      </w:pPr>
      <w:r>
        <w:rPr/>
        <w:t>Section 106.  Federal Transmission Corridors</w:t>
      </w:r>
    </w:p>
    <w:p>
      <w:pPr>
        <w:pStyle w:val="Normal"/>
        <w:rPr/>
      </w:pPr>
      <w:r>
        <w:rPr/>
        <w:t>Entire section struck</w:t>
      </w:r>
      <w:r>
        <w:br w:type="page"/>
      </w:r>
    </w:p>
    <w:p>
      <w:pPr>
        <w:pStyle w:val="Normal"/>
        <w:rPr>
          <w:b/>
          <w:bCs/>
        </w:rPr>
      </w:pPr>
      <w:r>
        <w:rPr>
          <w:b/>
          <w:bCs/>
        </w:rPr>
        <w:t>Section 107.  Guarantee of Payment Required for Certain Emergency Power Sales</w:t>
      </w:r>
    </w:p>
    <w:p>
      <w:pPr>
        <w:pStyle w:val="Normal"/>
        <w:rPr/>
      </w:pPr>
      <w:r>
        <w:rPr/>
        <w:t>Section rewritten with language from S.764 (Feinstein-Smith)</w:t>
      </w:r>
    </w:p>
    <w:p>
      <w:pPr>
        <w:pStyle w:val="Normal"/>
        <w:rPr>
          <w:rFonts w:ascii="Arial Unicode MS" w:hAnsi="Arial Unicode MS" w:eastAsia="Arial Unicode MS" w:cs="Arial Unicode MS"/>
        </w:rPr>
      </w:pPr>
      <w:r>
        <w:rPr/>
        <w:t>“</w:t>
      </w:r>
      <w:r>
        <w:rPr/>
        <w:t>a) NO ORDERS TO SELL WITHOUT A REASONABLE ASSURANCE OF PAYMENT- Notwithstanding section 302 of the Natural Gas Policy Act of 1978 (15 U.S.C. 3362), section 202(c) of the Federal Power Act (16 U.S.C. 824a(c)), or section 101 of the Defense Production Act of 1950 (50 U.S.C. App. 2071), neither the Secretary of Energy nor the Commission may issue an order that requires a seller of electric energy or natural gas to sell, on or after the date of enactment of this Act, electric energy or natural gas unless there is a reasonable assurance that the Commission determines is sufficient to ensure that the seller will be paid --</w:t>
      </w:r>
    </w:p>
    <w:p>
      <w:pPr>
        <w:pStyle w:val="Normal"/>
        <w:ind w:firstLine="720" w:end="0"/>
        <w:rPr/>
      </w:pPr>
      <w:r>
        <w:rPr/>
        <w:t>(1) the full purchase price when due, as agreed to by the buyer and seller; or</w:t>
      </w:r>
    </w:p>
    <w:p>
      <w:pPr>
        <w:pStyle w:val="Normal"/>
        <w:ind w:firstLine="720" w:end="0"/>
        <w:rPr/>
      </w:pPr>
      <w:r>
        <w:rPr/>
        <w:t>(2) if the buyer and seller are unable to agree on a price--</w:t>
      </w:r>
    </w:p>
    <w:p>
      <w:pPr>
        <w:pStyle w:val="Normal"/>
        <w:ind w:firstLine="720" w:end="0"/>
        <w:rPr/>
      </w:pPr>
      <w:r>
        <w:rPr/>
        <w:t>(a) a fair and equitable price for natural gas, as determined by the President under section 302 of the Natural Gas Policy Act of 1978 (15 U.S.C. 3362); or</w:t>
      </w:r>
    </w:p>
    <w:p>
      <w:pPr>
        <w:pStyle w:val="Normal"/>
        <w:ind w:firstLine="720" w:end="0"/>
        <w:rPr/>
      </w:pPr>
      <w:r>
        <w:rPr/>
        <w:t>(b) a just and reasonable price for electric energy, as determined by the Secretary of Energy or the Commission, as appropriate, under section 202(c) of the Federal Power Act (16 U.S.C. 824a(c)).</w:t>
      </w:r>
    </w:p>
    <w:p>
      <w:pPr>
        <w:pStyle w:val="Normal"/>
        <w:rPr/>
      </w:pPr>
      <w:r>
        <w:rPr/>
      </w:r>
    </w:p>
    <w:p>
      <w:pPr>
        <w:pStyle w:val="Heading1"/>
        <w:ind w:hanging="0" w:start="0"/>
        <w:rPr/>
      </w:pPr>
      <w:r>
        <w:rPr/>
        <w:t>Section 201.  Emergency Conservation Awareness</w:t>
      </w:r>
    </w:p>
    <w:p>
      <w:pPr>
        <w:pStyle w:val="Normal"/>
        <w:rPr/>
      </w:pPr>
      <w:r>
        <w:rPr/>
        <w:t>Page 10, line 19, after the period insert: “The Secretary shall take measures to ensure that the information and recommendations conveyed in the campaign are consistent with any educational efforts already under way in the affected States”.</w:t>
      </w:r>
    </w:p>
    <w:p>
      <w:pPr>
        <w:pStyle w:val="Normal"/>
        <w:rPr/>
      </w:pPr>
      <w:r>
        <w:rPr/>
      </w:r>
    </w:p>
    <w:p>
      <w:pPr>
        <w:pStyle w:val="Heading1"/>
        <w:ind w:hanging="0" w:start="0"/>
        <w:rPr/>
      </w:pPr>
      <w:r>
        <w:rPr/>
        <w:t>Section 202.  Preparation for Electricity Blackouts</w:t>
      </w:r>
    </w:p>
    <w:p>
      <w:pPr>
        <w:pStyle w:val="Normal"/>
        <w:rPr/>
      </w:pPr>
      <w:r>
        <w:rPr/>
        <w:t>Page 10, line 23, after “Agency” insert “and affected States”.</w:t>
      </w:r>
    </w:p>
    <w:p>
      <w:pPr>
        <w:pStyle w:val="Normal"/>
        <w:rPr/>
      </w:pPr>
      <w:r>
        <w:rPr/>
      </w:r>
    </w:p>
    <w:p>
      <w:pPr>
        <w:pStyle w:val="Normal"/>
        <w:rPr/>
      </w:pPr>
      <w:r>
        <w:rPr/>
        <w:t>Page 11, after line 11, insert “The Secretary shall take measures to ensure that the preparations made under this section are consistent with emergency preparations directed by authorities in the affected States and localities.”</w:t>
      </w:r>
    </w:p>
    <w:p>
      <w:pPr>
        <w:pStyle w:val="Normal"/>
        <w:rPr/>
      </w:pPr>
      <w:r>
        <w:rPr/>
      </w:r>
    </w:p>
    <w:p>
      <w:pPr>
        <w:pStyle w:val="Heading1"/>
        <w:ind w:hanging="0" w:start="0"/>
        <w:rPr/>
      </w:pPr>
      <w:r>
        <w:rPr/>
        <w:t>Section 205.  PURPA Contracts</w:t>
      </w:r>
    </w:p>
    <w:p>
      <w:pPr>
        <w:pStyle w:val="Normal"/>
        <w:rPr/>
      </w:pPr>
      <w:r>
        <w:rPr/>
        <w:t>Section a (1) revised - Page 13, line 10, after “energy” insert “after the enactment of this Act” and on line 20 after the period insert: “Nothing in this section shall apply to sales of electric energy before the enactment of this Act.”</w:t>
      </w:r>
    </w:p>
    <w:p>
      <w:pPr>
        <w:pStyle w:val="Normal"/>
        <w:rPr/>
      </w:pPr>
      <w:r>
        <w:rPr/>
      </w:r>
    </w:p>
    <w:p>
      <w:pPr>
        <w:pStyle w:val="Normal"/>
        <w:rPr/>
      </w:pPr>
      <w:r>
        <w:rPr/>
        <w:t>Section a (2) revised – Page 13, line 12, after “paid” insert “in full”</w:t>
      </w:r>
    </w:p>
    <w:p>
      <w:pPr>
        <w:pStyle w:val="Normal"/>
        <w:rPr/>
      </w:pPr>
      <w:r>
        <w:rPr/>
      </w:r>
    </w:p>
    <w:p>
      <w:pPr>
        <w:pStyle w:val="Normal"/>
        <w:rPr/>
      </w:pPr>
      <w:r>
        <w:rPr/>
        <w:t>Section b revised – Page 13, line 23, after “pays” insert “in full”</w:t>
      </w:r>
    </w:p>
    <w:p>
      <w:pPr>
        <w:pStyle w:val="Normal"/>
        <w:rPr/>
      </w:pPr>
      <w:r>
        <w:rPr/>
      </w:r>
    </w:p>
    <w:p>
      <w:pPr>
        <w:pStyle w:val="Heading1"/>
        <w:ind w:hanging="0" w:start="0"/>
        <w:rPr/>
      </w:pPr>
      <w:r>
        <w:rPr/>
        <w:t>Section 301.  Hydroelectric Power License Conditions</w:t>
      </w:r>
    </w:p>
    <w:p>
      <w:pPr>
        <w:pStyle w:val="Normal"/>
        <w:rPr/>
      </w:pPr>
      <w:r>
        <w:rPr/>
        <w:t>Entire section struck</w:t>
      </w:r>
    </w:p>
    <w:p>
      <w:pPr>
        <w:pStyle w:val="Normal"/>
        <w:rPr/>
      </w:pPr>
      <w:r>
        <w:rPr/>
      </w:r>
    </w:p>
    <w:p>
      <w:pPr>
        <w:pStyle w:val="Heading1"/>
        <w:ind w:hanging="0" w:start="0"/>
        <w:rPr/>
      </w:pPr>
      <w:r>
        <w:rPr/>
        <w:t>Section 302.  Federal Hydropower Generation</w:t>
      </w:r>
    </w:p>
    <w:p>
      <w:pPr>
        <w:pStyle w:val="Normal"/>
        <w:rPr/>
      </w:pPr>
      <w:r>
        <w:rPr/>
        <w:t>Entire section struck</w:t>
      </w:r>
    </w:p>
    <w:p>
      <w:pPr>
        <w:pStyle w:val="Normal"/>
        <w:rPr/>
      </w:pPr>
      <w:r>
        <w:rPr/>
      </w:r>
    </w:p>
    <w:p>
      <w:pPr>
        <w:pStyle w:val="Heading1"/>
        <w:ind w:hanging="0" w:start="0"/>
        <w:rPr/>
      </w:pPr>
      <w:r>
        <w:rPr/>
        <w:t>Section 303.  NOX Preconstruction Requirements For New Generation</w:t>
      </w:r>
    </w:p>
    <w:p>
      <w:pPr>
        <w:pStyle w:val="Normal"/>
        <w:rPr/>
      </w:pPr>
      <w:r>
        <w:rPr/>
        <w:t>Entire section struck</w:t>
      </w:r>
      <w:r>
        <w:br w:type="page"/>
      </w:r>
    </w:p>
    <w:p>
      <w:pPr>
        <w:pStyle w:val="Normal"/>
        <w:rPr>
          <w:b/>
          <w:bCs/>
        </w:rPr>
      </w:pPr>
      <w:r>
        <w:rPr>
          <w:b/>
          <w:bCs/>
        </w:rPr>
        <w:t>Section 305.  Emergency Generation</w:t>
      </w:r>
    </w:p>
    <w:p>
      <w:pPr>
        <w:pStyle w:val="Normal"/>
        <w:rPr/>
      </w:pPr>
      <w:r>
        <w:rPr/>
        <w:t>Entire section revised</w:t>
      </w:r>
    </w:p>
    <w:p>
      <w:pPr>
        <w:pStyle w:val="Normal"/>
        <w:rPr/>
      </w:pPr>
      <w:r>
        <w:rPr/>
        <w:t>“</w:t>
      </w:r>
      <w:r>
        <w:rPr>
          <w:szCs w:val="20"/>
        </w:rPr>
        <w:t>SEC. 302. EMERGENCY GENERATION</w:t>
      </w:r>
      <w:r>
        <w:rPr>
          <w:b/>
          <w:bCs/>
          <w:szCs w:val="20"/>
        </w:rPr>
        <w:t>.</w:t>
      </w:r>
    </w:p>
    <w:p>
      <w:pPr>
        <w:pStyle w:val="Normal"/>
        <w:rPr/>
      </w:pPr>
      <w:r>
        <w:rPr>
          <w:szCs w:val="28"/>
        </w:rPr>
        <w:t xml:space="preserve">(a) </w:t>
      </w:r>
      <w:r>
        <w:rPr>
          <w:szCs w:val="21"/>
        </w:rPr>
        <w:t>DEFINITIO</w:t>
      </w:r>
      <w:r>
        <w:rPr>
          <w:szCs w:val="28"/>
        </w:rPr>
        <w:t xml:space="preserve">N.—The term ‘‘high electricity emergency day’’ means a day on which a California State agency determines that rolling electric blackouts are imminent and during which a Stage III Emergency has been declared by the California Independent System Operator. </w:t>
      </w:r>
    </w:p>
    <w:p>
      <w:pPr>
        <w:pStyle w:val="Normal"/>
        <w:rPr/>
      </w:pPr>
      <w:r>
        <w:rPr>
          <w:szCs w:val="28"/>
        </w:rPr>
        <w:t>(b) N</w:t>
      </w:r>
      <w:r>
        <w:rPr>
          <w:szCs w:val="21"/>
        </w:rPr>
        <w:t>OX WAIVER FOR NATURAL GA</w:t>
      </w:r>
      <w:r>
        <w:rPr>
          <w:szCs w:val="28"/>
        </w:rPr>
        <w:t>S-</w:t>
      </w:r>
      <w:r>
        <w:rPr>
          <w:szCs w:val="21"/>
        </w:rPr>
        <w:t>FIRED GE</w:t>
      </w:r>
      <w:r>
        <w:rPr>
          <w:szCs w:val="28"/>
        </w:rPr>
        <w:t>N</w:t>
      </w:r>
      <w:r>
        <w:rPr>
          <w:szCs w:val="21"/>
        </w:rPr>
        <w:t>ERATIO</w:t>
      </w:r>
      <w:r>
        <w:rPr>
          <w:szCs w:val="28"/>
        </w:rPr>
        <w:t>N.—In order to permit additional generation on any high electricity emergency day or any portion of such a day, the Governor of California may temporarily waive, in whole or in part, any emission limitations for emissions of oxides of nitrogen from natural gas fired electric power generation facilities which limitations are contained in the applicable implementation plan under the Clean Air Act for the State of California (including any limitations set forth in a permit). Such waiver may be issued only during a period during which an electricity emergency is in effect in California pursuant to a declaration by the Governor of the State. Such temporary waiver shall not authorize an emission source to disconnect or cease using any emission control device used to control emissions of oxides of nitrogen. No such temporary waiver may remain in effect for a period longer than 6 consecutive months.</w:t>
      </w:r>
    </w:p>
    <w:p>
      <w:pPr>
        <w:pStyle w:val="Normal"/>
        <w:rPr/>
      </w:pPr>
      <w:r>
        <w:rPr>
          <w:szCs w:val="28"/>
        </w:rPr>
        <w:t xml:space="preserve">(c) </w:t>
      </w:r>
      <w:r>
        <w:rPr>
          <w:szCs w:val="21"/>
        </w:rPr>
        <w:t>MITIGATION FEE</w:t>
      </w:r>
      <w:r>
        <w:rPr>
          <w:szCs w:val="28"/>
        </w:rPr>
        <w:t>S.—Nothing in this section shall be construed to limit or prohibit the imposition of mitigation fees by the State of California on any stationary source with respect to emissions permitted by reason of a waiver under subsection (b).</w:t>
      </w:r>
    </w:p>
    <w:p>
      <w:pPr>
        <w:pStyle w:val="Normal"/>
        <w:rPr/>
      </w:pPr>
      <w:r>
        <w:rPr>
          <w:szCs w:val="28"/>
        </w:rPr>
        <w:t xml:space="preserve">(d) </w:t>
      </w:r>
      <w:r>
        <w:rPr>
          <w:szCs w:val="21"/>
        </w:rPr>
        <w:t>AIR QUALIT</w:t>
      </w:r>
      <w:r>
        <w:rPr>
          <w:szCs w:val="28"/>
        </w:rPr>
        <w:t xml:space="preserve">Y.—Upon the issuance of a waiver under subsection (b), the Governor shall submit a report to the Administrator of the Environmental Protection Agency containing— </w:t>
      </w:r>
    </w:p>
    <w:p>
      <w:pPr>
        <w:pStyle w:val="Normal"/>
        <w:rPr>
          <w:szCs w:val="28"/>
        </w:rPr>
      </w:pPr>
      <w:r>
        <w:rPr>
          <w:szCs w:val="28"/>
        </w:rPr>
        <w:t xml:space="preserve">(1) an explanation of the actions taken in such waiver, </w:t>
      </w:r>
    </w:p>
    <w:p>
      <w:pPr>
        <w:pStyle w:val="Normal"/>
        <w:rPr>
          <w:szCs w:val="28"/>
        </w:rPr>
      </w:pPr>
      <w:r>
        <w:rPr>
          <w:szCs w:val="28"/>
        </w:rPr>
        <w:t xml:space="preserve">(2) the effect of such actions on air quality, and </w:t>
      </w:r>
    </w:p>
    <w:p>
      <w:pPr>
        <w:pStyle w:val="Normal"/>
        <w:rPr>
          <w:szCs w:val="28"/>
        </w:rPr>
      </w:pPr>
      <w:r>
        <w:rPr>
          <w:szCs w:val="28"/>
        </w:rPr>
        <w:t xml:space="preserve">(3) a schedule for the submission of an amendment to the State implementation plan to the extent— </w:t>
      </w:r>
    </w:p>
    <w:p>
      <w:pPr>
        <w:pStyle w:val="Normal"/>
        <w:rPr>
          <w:szCs w:val="28"/>
        </w:rPr>
      </w:pPr>
      <w:r>
        <w:rPr>
          <w:szCs w:val="28"/>
        </w:rPr>
        <w:t xml:space="preserve">(A) necessary to ensure that such waiver does not result in a net increase in emissions of any oxides of nitrogen in any affected air quality region above that required by the Clean Air Act, and </w:t>
      </w:r>
    </w:p>
    <w:p>
      <w:pPr>
        <w:pStyle w:val="Normal"/>
        <w:rPr>
          <w:szCs w:val="28"/>
        </w:rPr>
      </w:pPr>
      <w:r>
        <w:rPr>
          <w:szCs w:val="28"/>
        </w:rPr>
        <w:t xml:space="preserve">(B) the Governor determines to modify or replace any provisions of the applicable implementation plan that affect natural gas fired electric power generation facilities and that are more stringent than required by the Clean Air Act. </w:t>
      </w:r>
    </w:p>
    <w:p>
      <w:pPr>
        <w:pStyle w:val="Normal"/>
        <w:rPr/>
      </w:pPr>
      <w:r>
        <w:rPr>
          <w:szCs w:val="28"/>
        </w:rPr>
        <w:t xml:space="preserve">(e) </w:t>
      </w:r>
      <w:r>
        <w:rPr>
          <w:szCs w:val="21"/>
        </w:rPr>
        <w:t>SUNSE</w:t>
      </w:r>
      <w:r>
        <w:rPr>
          <w:szCs w:val="28"/>
        </w:rPr>
        <w:t>T.—This section shall cease to apply on the date 2 years after the enactment of this Act.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2001-05-08T17:26:00Z</dcterms:created>
  <dc:creator>Andy Black</dc:creator>
  <dc:description/>
  <dc:language>en-CA</dc:language>
  <cp:lastModifiedBy>Andy Black</cp:lastModifiedBy>
  <dcterms:modified xsi:type="dcterms:W3CDTF">2001-05-08T19:56:00Z</dcterms:modified>
  <cp:revision>21</cp:revision>
  <dc:subject/>
  <dc:title>Changes to H</dc:title>
</cp:coreProperties>
</file>