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before="0" w:after="540"/>
        <w:rPr/>
      </w:pPr>
      <w:r>
        <w:rPr/>
        <w:t>TABLE OF CONTENTS</w:t>
      </w:r>
    </w:p>
    <w:sdt>
      <w:sdtPr>
        <w:docPartObj>
          <w:docPartGallery w:val="Table of Contents"/>
          <w:docPartUnique w:val="true"/>
        </w:docPartObj>
      </w:sdtPr>
      <w:sdtContent>
        <w:p>
          <w:pPr>
            <w:pStyle w:val="TOC1"/>
            <w:spacing w:lineRule="auto" w:line="240" w:before="160" w:after="80"/>
            <w:ind w:hanging="0" w:start="0" w:end="533"/>
            <w:rPr>
              <w:lang w:val="en-CA" w:eastAsia="en-CA"/>
            </w:rPr>
          </w:pPr>
          <w:r>
            <w:fldChar w:fldCharType="begin"/>
          </w:r>
          <w:r>
            <w:rPr>
              <w:caps/>
              <w:b/>
              <w:lang w:val="en-CA" w:eastAsia="en-CA"/>
            </w:rPr>
            <w:instrText xml:space="preserve"> TOC \o "1-4" </w:instrText>
          </w:r>
          <w:r>
            <w:rPr>
              <w:caps/>
              <w:b/>
              <w:lang w:val="en-CA" w:eastAsia="en-CA"/>
            </w:rPr>
            <w:fldChar w:fldCharType="separate"/>
          </w:r>
          <w:r>
            <w:rPr>
              <w:b/>
              <w:caps/>
              <w:lang w:val="en-CA" w:eastAsia="en-CA"/>
            </w:rPr>
            <w:t>1.0</w:t>
            <w:tab/>
            <w:t>PURPOSE AND OBJECTIVES</w:t>
          </w:r>
          <w:r>
            <w:rPr>
              <w:b w:val="false"/>
              <w:caps/>
              <w:lang w:val="en-CA" w:eastAsia="en-CA"/>
            </w:rPr>
            <w:tab/>
            <w:tab/>
          </w:r>
          <w:hyperlink w:anchor="__RefHeading___Toc518976854">
            <w:r>
              <w:rPr>
                <w:rStyle w:val="IndexLink"/>
                <w:b w:val="false"/>
                <w:caps/>
                <w:lang w:val="en-CA" w:eastAsia="en-CA"/>
              </w:rPr>
              <w:t>1</w:t>
            </w:r>
          </w:hyperlink>
        </w:p>
        <w:p>
          <w:pPr>
            <w:pStyle w:val="TOC1"/>
            <w:rPr>
              <w:lang w:val="en-CA" w:eastAsia="en-CA"/>
            </w:rPr>
          </w:pPr>
          <w:r>
            <w:rPr>
              <w:lang w:val="en-CA" w:eastAsia="en-CA"/>
            </w:rPr>
            <w:t>2.0</w:t>
            <w:tab/>
            <w:t>MONITORING PROCEDURES</w:t>
          </w:r>
          <w:r>
            <w:rPr>
              <w:b w:val="false"/>
              <w:lang w:val="en-CA" w:eastAsia="en-CA"/>
            </w:rPr>
            <w:tab/>
            <w:tab/>
          </w:r>
          <w:hyperlink w:anchor="__RefHeading___Toc518976855">
            <w:r>
              <w:rPr>
                <w:rStyle w:val="IndexLink"/>
                <w:b w:val="false"/>
                <w:lang w:val="en-CA" w:eastAsia="en-CA"/>
              </w:rPr>
              <w:t>3</w:t>
            </w:r>
          </w:hyperlink>
        </w:p>
        <w:p>
          <w:pPr>
            <w:pStyle w:val="TOC1"/>
            <w:rPr>
              <w:lang w:val="en-CA" w:eastAsia="en-CA"/>
            </w:rPr>
          </w:pPr>
          <w:r>
            <w:rPr>
              <w:lang w:val="en-CA" w:eastAsia="en-CA"/>
            </w:rPr>
            <w:t>3.0</w:t>
            <w:tab/>
            <w:t>EVALUATION OF DIFFERENTIAL SUBSIDENCE</w:t>
          </w:r>
          <w:r>
            <w:rPr>
              <w:b w:val="false"/>
              <w:lang w:val="en-CA" w:eastAsia="en-CA"/>
            </w:rPr>
            <w:tab/>
            <w:tab/>
          </w:r>
          <w:hyperlink w:anchor="__RefHeading___Toc518976856">
            <w:r>
              <w:rPr>
                <w:rStyle w:val="IndexLink"/>
                <w:b w:val="false"/>
                <w:lang w:val="en-CA" w:eastAsia="en-CA"/>
              </w:rPr>
              <w:t>5</w:t>
            </w:r>
          </w:hyperlink>
          <w:r>
            <w:rPr>
              <w:rStyle w:val="IndexLink"/>
              <w:b w:val="false"/>
              <w:lang w:val="en-CA" w:eastAsia="en-CA"/>
            </w:rPr>
            <w:fldChar w:fldCharType="end"/>
          </w:r>
        </w:p>
      </w:sdtContent>
    </w:sdt>
    <w:p>
      <w:pPr>
        <w:pStyle w:val="Normal"/>
        <w:rPr>
          <w:lang w:val="en-CA" w:eastAsia="en-CA"/>
        </w:rPr>
      </w:pPr>
      <w:r>
        <w:rPr>
          <w:lang w:val="en-CA" w:eastAsia="en-CA"/>
        </w:rPr>
      </w:r>
      <w:r>
        <w:br w:type="page"/>
      </w:r>
    </w:p>
    <w:p>
      <w:pPr>
        <w:pStyle w:val="Heading"/>
        <w:spacing w:lineRule="auto" w:line="240" w:before="0" w:after="540"/>
        <w:rPr/>
      </w:pPr>
      <w:r>
        <w:rPr/>
        <w:t>LIST OF FIGURES</w:t>
      </w:r>
    </w:p>
    <w:p>
      <w:pPr>
        <w:pStyle w:val="Normal"/>
        <w:tabs>
          <w:tab w:val="clear" w:pos="720"/>
          <w:tab w:val="right" w:pos="9360" w:leader="none"/>
        </w:tabs>
        <w:ind w:hanging="0" w:end="0"/>
        <w:rPr>
          <w:b/>
          <w:sz w:val="18"/>
        </w:rPr>
      </w:pPr>
      <w:r>
        <w:rPr>
          <w:b/>
          <w:sz w:val="18"/>
        </w:rPr>
        <w:t>FIGURE</w:t>
        <w:tab/>
        <w:t>PAGE</w:t>
      </w:r>
    </w:p>
    <w:p>
      <w:pPr>
        <w:pStyle w:val="Normal"/>
        <w:rPr>
          <w:b/>
          <w:sz w:val="18"/>
        </w:rPr>
      </w:pPr>
      <w:r>
        <w:rPr>
          <w:b/>
          <w:sz w:val="18"/>
        </w:rPr>
      </w:r>
    </w:p>
    <w:p>
      <w:pPr>
        <w:pStyle w:val="TableofFigures"/>
        <w:rPr>
          <w:lang w:val="en-CA" w:eastAsia="en-CA"/>
        </w:rPr>
      </w:pPr>
      <w:r>
        <w:fldChar w:fldCharType="begin"/>
      </w:r>
      <w:r>
        <w:rPr>
          <w:lang w:val="en-CA" w:eastAsia="en-CA"/>
        </w:rPr>
        <w:instrText xml:space="preserve"> TOC \c "Figure" </w:instrText>
      </w:r>
      <w:r>
        <w:rPr>
          <w:lang w:val="en-CA" w:eastAsia="en-CA"/>
        </w:rPr>
        <w:fldChar w:fldCharType="separate"/>
      </w:r>
      <w:r>
        <w:rPr>
          <w:lang w:val="en-CA" w:eastAsia="en-CA"/>
        </w:rPr>
        <w:t>1</w:t>
        <w:noBreakHyphen/>
        <w:t>1</w:t>
        <w:tab/>
        <w:t>Location of Napoleonville Storage No. 1 and Monitoring Benchmarks.</w:t>
        <w:tab/>
        <w:tab/>
      </w:r>
      <w:hyperlink w:anchor="__RefHeading___Toc519045484">
        <w:r>
          <w:rPr>
            <w:rStyle w:val="IndexLink"/>
            <w:lang w:val="en-CA" w:eastAsia="en-CA"/>
          </w:rPr>
          <w:t>2</w:t>
        </w:r>
      </w:hyperlink>
    </w:p>
    <w:p>
      <w:pPr>
        <w:pStyle w:val="TableofFigures"/>
        <w:rPr>
          <w:lang w:val="en-CA" w:eastAsia="en-CA"/>
        </w:rPr>
      </w:pPr>
      <w:r>
        <w:rPr>
          <w:lang w:val="en-CA" w:eastAsia="en-CA"/>
        </w:rPr>
        <w:t>2</w:t>
        <w:noBreakHyphen/>
        <w:t>1</w:t>
        <w:tab/>
        <w:t>Differential Subsidence Report Form for Napoleonville Storage No. 1.</w:t>
        <w:tab/>
        <w:tab/>
      </w:r>
      <w:hyperlink w:anchor="__RefHeading___Toc519045485">
        <w:r>
          <w:rPr>
            <w:rStyle w:val="IndexLink"/>
            <w:lang w:val="en-CA" w:eastAsia="en-CA"/>
          </w:rPr>
          <w:t>4</w:t>
        </w:r>
      </w:hyperlink>
      <w:r>
        <w:rPr>
          <w:rStyle w:val="IndexLink"/>
          <w:lang w:val="en-CA" w:eastAsia="en-CA"/>
        </w:rPr>
        <w:fldChar w:fldCharType="end"/>
      </w:r>
    </w:p>
    <w:p>
      <w:pPr>
        <w:sectPr>
          <w:footerReference w:type="default" r:id="rId2"/>
          <w:type w:val="nextPage"/>
          <w:pgSz w:w="12240" w:h="15840"/>
          <w:pgMar w:left="1440" w:right="1440" w:gutter="0" w:header="0" w:top="1440" w:footer="864" w:bottom="1440"/>
          <w:pgNumType w:start="1" w:fmt="lowerRoman"/>
          <w:formProt w:val="false"/>
          <w:textDirection w:val="lrTb"/>
          <w:docGrid w:type="default" w:linePitch="360" w:charSpace="0"/>
        </w:sectPr>
        <w:pStyle w:val="Normal"/>
        <w:ind w:hanging="0" w:end="0"/>
        <w:rPr>
          <w:lang w:val="en-CA" w:eastAsia="en-CA"/>
        </w:rPr>
      </w:pPr>
      <w:r>
        <w:rPr>
          <w:lang w:val="en-CA" w:eastAsia="en-CA"/>
        </w:rPr>
      </w:r>
    </w:p>
    <w:p>
      <w:pPr>
        <w:pStyle w:val="Heading1"/>
        <w:ind w:firstLine="288" w:start="0"/>
        <w:rPr/>
      </w:pPr>
      <w:bookmarkStart w:id="0" w:name="__RefHeading___Toc518976854"/>
      <w:bookmarkEnd w:id="0"/>
      <w:r>
        <w:rPr/>
        <w:t>0  PURPOSE AND OBJECTIVES</w:t>
      </w:r>
    </w:p>
    <w:p>
      <w:pPr>
        <w:pStyle w:val="Normal"/>
        <w:rPr/>
      </w:pPr>
      <w:r>
        <w:rPr/>
        <w:t>Napoleonville Storage No. 1 (Serial No. 972568), located in the Napoleonville salt dome, is to be converted from brine mining to natural gas storage service.  The well is owned and operated by Bridgeline Storage Company, LLC.  The surface location of the wellheads for this well and proposed subsidence monitoring benchmarks are illustrated in Figure 1-1.</w:t>
      </w:r>
    </w:p>
    <w:p>
      <w:pPr>
        <w:pStyle w:val="Normal"/>
        <w:rPr/>
      </w:pPr>
      <w:r>
        <w:rPr/>
      </w:r>
    </w:p>
    <w:p>
      <w:pPr>
        <w:pStyle w:val="Normal"/>
        <w:rPr/>
      </w:pPr>
      <w:r>
        <w:rPr/>
        <w:t>Bridgeline intends to monitor the natural gas service in Well No. 1 to ensure safe operations.  One of the programs that will be initiated by Bridgeline is Differential Subsidence Monitoring.  Differential subsidence is the difference in subsidence between two or more surface locations.  For the program described in this document, the differential subsidence of interest is that at Well No. 1 relative to the subsidence at adjacent subsidence monitoring benchmarks.  The subsidence monitoring benchmarks will be stainless steel rods driven at least 30 feet into the subsurface.  A protective enclosure will be installed at the surface for each benchmark.</w:t>
      </w:r>
    </w:p>
    <w:p>
      <w:pPr>
        <w:pStyle w:val="Normal"/>
        <w:rPr/>
      </w:pPr>
      <w:r>
        <w:rPr/>
      </w:r>
    </w:p>
    <w:p>
      <w:pPr>
        <w:pStyle w:val="Normal"/>
        <w:rPr/>
      </w:pPr>
      <w:r>
        <w:rPr/>
        <w:t>The purpose of this document is to describe the procedures for the semiannual monitoring and evaluation of the differential subsidence of the well used for natural gas service</w:t>
      </w:r>
      <w:r>
        <w:br w:type="page"/>
      </w:r>
    </w:p>
    <w:p>
      <w:pPr>
        <w:pStyle w:val="Normal"/>
        <w:spacing w:before="0" w:after="12100"/>
        <w:ind w:hanging="0" w:end="0"/>
        <w:rPr>
          <w:rFonts w:ascii="Helvetica" w:hAnsi="Helvetica" w:cs="Helvetica"/>
          <w:sz w:val="18"/>
        </w:rPr>
      </w:pPr>
      <w:r>
        <w:rPr>
          <w:rFonts w:cs="Helvetica" w:ascii="Helvetica" w:hAnsi="Helvetica"/>
          <w:sz w:val="18"/>
        </w:rPr>
        <w:t>RSI-1231-01-011</w:t>
      </w:r>
    </w:p>
    <w:p>
      <w:pPr>
        <w:pStyle w:val="Caption"/>
        <w:jc w:val="center"/>
        <w:rPr/>
      </w:pPr>
      <w:bookmarkStart w:id="1" w:name="__RefHeading___Toc519045484"/>
      <w:bookmarkEnd w:id="1"/>
      <w:r>
        <w:drawing>
          <wp:anchor behindDoc="0" distT="0" distB="0" distL="114935" distR="114935" simplePos="0" locked="0" layoutInCell="1" allowOverlap="1" relativeHeight="9">
            <wp:simplePos x="0" y="0"/>
            <wp:positionH relativeFrom="column">
              <wp:posOffset>274320</wp:posOffset>
            </wp:positionH>
            <wp:positionV relativeFrom="paragraph">
              <wp:posOffset>-7394575</wp:posOffset>
            </wp:positionV>
            <wp:extent cx="5413375" cy="7192010"/>
            <wp:effectExtent l="0" t="0" r="0" b="0"/>
            <wp:wrapNone/>
            <wp:docPr id="2" name="~AUT0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0001" descr="" title=""/>
                    <pic:cNvPicPr>
                      <a:picLocks noChangeAspect="1" noChangeArrowheads="1"/>
                    </pic:cNvPicPr>
                  </pic:nvPicPr>
                  <pic:blipFill>
                    <a:blip r:embed="rId3"/>
                    <a:srcRect l="-5" t="-4" r="-5" b="-4"/>
                    <a:stretch>
                      <a:fillRect/>
                    </a:stretch>
                  </pic:blipFill>
                  <pic:spPr bwMode="auto">
                    <a:xfrm>
                      <a:off x="0" y="0"/>
                      <a:ext cx="5413375" cy="7192010"/>
                    </a:xfrm>
                    <a:prstGeom prst="rect">
                      <a:avLst/>
                    </a:prstGeom>
                    <a:noFill/>
                  </pic:spPr>
                </pic:pic>
              </a:graphicData>
            </a:graphic>
          </wp:anchor>
        </w:drawing>
      </w:r>
      <w:r>
        <w:rPr/>
        <w:t xml:space="preserve">Figure </w:t>
      </w:r>
      <w:r>
        <w:fldChar w:fldCharType="begin"/>
      </w:r>
      <w:r>
        <w:rPr>
          <w:lang w:val="en-CA" w:eastAsia="en-CA"/>
        </w:rPr>
        <w:instrText xml:space="preserve"> STYLEREF 1 \s </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noBreakHyphen/>
      </w:r>
      <w:r>
        <w:rPr/>
        <w:fldChar w:fldCharType="begin"/>
      </w:r>
      <w:r>
        <w:rPr/>
        <w:instrText xml:space="preserve"> SEQ Figure \* ARABIC </w:instrText>
      </w:r>
      <w:r>
        <w:rPr/>
        <w:fldChar w:fldCharType="separate"/>
      </w:r>
      <w:r>
        <w:rPr/>
        <w:t>1</w:t>
      </w:r>
      <w:r>
        <w:rPr/>
        <w:fldChar w:fldCharType="end"/>
      </w:r>
      <w:r>
        <w:rPr/>
        <w:t>.</w:t>
      </w:r>
      <w:r>
        <w:rPr>
          <w:b w:val="false"/>
        </w:rPr>
        <w:t xml:space="preserve">  Location of Napoleonville Storage No. 1 and Monitoring Benchmarks.</w:t>
      </w:r>
    </w:p>
    <w:p>
      <w:pPr>
        <w:pStyle w:val="Heading1"/>
        <w:ind w:firstLine="288" w:start="0"/>
        <w:rPr/>
      </w:pPr>
      <w:bookmarkStart w:id="2" w:name="__RefHeading___Toc518976855"/>
      <w:bookmarkEnd w:id="2"/>
      <w:r>
        <w:rPr/>
        <w:t>0  MONITORING PROCEDURES</w:t>
      </w:r>
    </w:p>
    <w:p>
      <w:pPr>
        <w:pStyle w:val="Normal"/>
        <w:rPr/>
      </w:pPr>
      <w:r>
        <w:rPr/>
        <w:t>The differential subsidence experienced at the wellhead of Well No. 1 will be monitored on a semiannual basis.  The differential subsidence at this well will be determined from the semiannual measurement of the differences in the wellhead elevations between Well No. 1 and the four adjacent subsidence monitoring benchmarks.</w:t>
      </w:r>
    </w:p>
    <w:p>
      <w:pPr>
        <w:pStyle w:val="Normal"/>
        <w:rPr/>
      </w:pPr>
      <w:r>
        <w:rPr/>
      </w:r>
    </w:p>
    <w:p>
      <w:pPr>
        <w:pStyle w:val="Normal"/>
        <w:rPr/>
      </w:pPr>
      <w:r>
        <w:rPr/>
        <w:t>The location on the wellhead where the subsidence monitoring will take place will be the underside of the lower flange of the Bradenhead flange.  The elevation of the upper surface of the Bradenhead flange will be determined in the precision level survey and the Bradenhead flange on the wellhead will be calipered to determine the elevation of the underside of the lower flange.</w:t>
      </w:r>
    </w:p>
    <w:p>
      <w:pPr>
        <w:pStyle w:val="Normal"/>
        <w:rPr/>
      </w:pPr>
      <w:r>
        <w:rPr/>
      </w:r>
    </w:p>
    <w:p>
      <w:pPr>
        <w:pStyle w:val="Normal"/>
        <w:rPr/>
      </w:pPr>
      <w:r>
        <w:rPr/>
        <w:t>On a semiannual basis, the difference in elevation between Well No. 1 and the subsidence monitoring benchmarks will be measured.  The elevation differences obtained during the two semiannual surveys will be compiled by Bridgeline on the form illustrated in Figure 2-1.  The date on which the wellhead and benchmarks are surveyed will also be noted on the form.  Efforts will be made by Bridgeline to use the same surveying contractor to assure consistency of results.</w:t>
      </w:r>
      <w:r>
        <w:br w:type="page"/>
      </w:r>
    </w:p>
    <w:p>
      <w:pPr>
        <w:pStyle w:val="Normal"/>
        <w:spacing w:before="0" w:after="3600"/>
        <w:ind w:hanging="0" w:end="0"/>
        <w:rPr>
          <w:rFonts w:ascii="Helvetica" w:hAnsi="Helvetica" w:cs="Helvetica"/>
          <w:sz w:val="18"/>
        </w:rPr>
      </w:pPr>
      <w:r>
        <w:rPr>
          <w:rFonts w:cs="Helvetica" w:ascii="Helvetica" w:hAnsi="Helvetica"/>
          <w:sz w:val="18"/>
        </w:rPr>
        <w:t>RSI-1231-01-013</w:t>
      </w:r>
    </w:p>
    <w:p>
      <w:pPr>
        <w:pStyle w:val="Normal"/>
        <w:spacing w:lineRule="auto" w:line="240"/>
        <w:ind w:hanging="0" w:end="0"/>
        <w:jc w:val="center"/>
        <w:rPr>
          <w:b/>
        </w:rPr>
      </w:pPr>
      <w:r>
        <w:rPr>
          <w:b/>
        </w:rPr>
        <w:t>Differential Subsidence Report</w:t>
      </w:r>
    </w:p>
    <w:p>
      <w:pPr>
        <w:pStyle w:val="Normal"/>
        <w:spacing w:lineRule="auto" w:line="240" w:before="0" w:after="200"/>
        <w:ind w:hanging="0" w:end="0"/>
        <w:jc w:val="center"/>
        <w:rPr>
          <w:b/>
        </w:rPr>
      </w:pPr>
      <w:r>
        <w:rPr>
          <w:b/>
        </w:rPr>
        <w:t>Napoleonville Storage No. 1</w:t>
      </w:r>
    </w:p>
    <w:tbl>
      <w:tblPr>
        <w:tblW w:w="6272" w:type="dxa"/>
        <w:jc w:val="center"/>
        <w:tblInd w:w="0" w:type="dxa"/>
        <w:tblLayout w:type="fixed"/>
        <w:tblCellMar>
          <w:top w:w="0" w:type="dxa"/>
          <w:start w:w="108" w:type="dxa"/>
          <w:bottom w:w="0" w:type="dxa"/>
          <w:end w:w="108" w:type="dxa"/>
        </w:tblCellMar>
      </w:tblPr>
      <w:tblGrid>
        <w:gridCol w:w="2070"/>
        <w:gridCol w:w="2132"/>
        <w:gridCol w:w="2070"/>
      </w:tblGrid>
      <w:tr>
        <w:trPr>
          <w:trHeight w:val="336" w:hRule="atLeast"/>
        </w:trPr>
        <w:tc>
          <w:tcPr>
            <w:tcW w:w="2070" w:type="dxa"/>
            <w:vMerge w:val="restart"/>
            <w:tcBorders>
              <w:top w:val="double" w:sz="12" w:space="0" w:color="000000"/>
              <w:start w:val="double" w:sz="12" w:space="0" w:color="000000"/>
              <w:bottom w:val="single" w:sz="4" w:space="0" w:color="000000"/>
              <w:end w:val="single" w:sz="4" w:space="0" w:color="000000"/>
            </w:tcBorders>
            <w:vAlign w:val="center"/>
          </w:tcPr>
          <w:p>
            <w:pPr>
              <w:pStyle w:val="Normal"/>
              <w:spacing w:lineRule="auto" w:line="240" w:before="90" w:after="54"/>
              <w:ind w:hanging="0" w:end="0"/>
              <w:jc w:val="center"/>
              <w:rPr>
                <w:b/>
              </w:rPr>
            </w:pPr>
            <w:r>
              <w:rPr>
                <w:b/>
              </w:rPr>
              <w:t>Subsidence</w:t>
              <w:br/>
              <w:t>Benchmark</w:t>
            </w:r>
          </w:p>
        </w:tc>
        <w:tc>
          <w:tcPr>
            <w:tcW w:w="2132" w:type="dxa"/>
            <w:vMerge w:val="restart"/>
            <w:tcBorders>
              <w:top w:val="double" w:sz="12" w:space="0" w:color="000000"/>
              <w:start w:val="single" w:sz="4" w:space="0" w:color="000000"/>
              <w:bottom w:val="single" w:sz="4" w:space="0" w:color="000000"/>
              <w:end w:val="single" w:sz="4" w:space="0" w:color="000000"/>
            </w:tcBorders>
            <w:vAlign w:val="center"/>
          </w:tcPr>
          <w:p>
            <w:pPr>
              <w:pStyle w:val="Normal"/>
              <w:spacing w:lineRule="auto" w:line="240" w:before="90" w:after="54"/>
              <w:ind w:hanging="0" w:end="0"/>
              <w:jc w:val="center"/>
              <w:rPr>
                <w:b/>
              </w:rPr>
            </w:pPr>
            <w:r>
              <w:rPr>
                <w:b/>
              </w:rPr>
              <w:t>Survey</w:t>
              <w:br/>
              <w:t>Date</w:t>
            </w:r>
          </w:p>
        </w:tc>
        <w:tc>
          <w:tcPr>
            <w:tcW w:w="2070" w:type="dxa"/>
            <w:tcBorders>
              <w:top w:val="double" w:sz="12" w:space="0" w:color="000000"/>
              <w:start w:val="single" w:sz="4" w:space="0" w:color="000000"/>
              <w:bottom w:val="single" w:sz="4" w:space="0" w:color="000000"/>
              <w:end w:val="double" w:sz="12" w:space="0" w:color="000000"/>
            </w:tcBorders>
            <w:vAlign w:val="center"/>
          </w:tcPr>
          <w:p>
            <w:pPr>
              <w:pStyle w:val="Normal"/>
              <w:spacing w:lineRule="auto" w:line="240" w:before="90" w:after="54"/>
              <w:ind w:hanging="0" w:end="0"/>
              <w:jc w:val="center"/>
              <w:rPr>
                <w:b/>
              </w:rPr>
            </w:pPr>
            <w:r>
              <w:rPr>
                <w:b/>
              </w:rPr>
              <w:t>Elevation Difference</w:t>
              <w:br/>
              <w:t>(ft)</w:t>
            </w:r>
          </w:p>
        </w:tc>
      </w:tr>
      <w:tr>
        <w:trPr>
          <w:trHeight w:val="336" w:hRule="atLeast"/>
        </w:trPr>
        <w:tc>
          <w:tcPr>
            <w:tcW w:w="2070" w:type="dxa"/>
            <w:vMerge w:val="continue"/>
            <w:tcBorders>
              <w:top w:val="double" w:sz="12" w:space="0" w:color="000000"/>
              <w:start w:val="double" w:sz="12" w:space="0" w:color="000000"/>
              <w:bottom w:val="single" w:sz="4" w:space="0" w:color="000000"/>
              <w:end w:val="single" w:sz="4" w:space="0" w:color="000000"/>
            </w:tcBorders>
            <w:vAlign w:val="center"/>
          </w:tcPr>
          <w:p>
            <w:pPr>
              <w:pStyle w:val="Normal"/>
              <w:snapToGrid w:val="false"/>
              <w:spacing w:lineRule="auto" w:line="240" w:before="90" w:after="54"/>
              <w:ind w:hanging="0" w:end="0"/>
              <w:jc w:val="center"/>
              <w:rPr>
                <w:b/>
              </w:rPr>
            </w:pPr>
            <w:r>
              <w:rPr>
                <w:b/>
              </w:rPr>
            </w:r>
          </w:p>
        </w:tc>
        <w:tc>
          <w:tcPr>
            <w:tcW w:w="2132" w:type="dxa"/>
            <w:vMerge w:val="continue"/>
            <w:tcBorders>
              <w:top w:val="double" w:sz="12" w:space="0" w:color="000000"/>
              <w:start w:val="single" w:sz="4" w:space="0" w:color="000000"/>
              <w:bottom w:val="single" w:sz="4" w:space="0" w:color="000000"/>
              <w:end w:val="single" w:sz="4" w:space="0" w:color="000000"/>
            </w:tcBorders>
            <w:vAlign w:val="center"/>
          </w:tcPr>
          <w:p>
            <w:pPr>
              <w:pStyle w:val="Normal"/>
              <w:snapToGrid w:val="false"/>
              <w:spacing w:lineRule="auto" w:line="240" w:before="90" w:after="54"/>
              <w:ind w:hanging="0" w:end="0"/>
              <w:jc w:val="center"/>
              <w:rPr>
                <w:b/>
              </w:rPr>
            </w:pPr>
            <w:r>
              <w:rPr>
                <w:b/>
              </w:rPr>
            </w:r>
          </w:p>
        </w:tc>
        <w:tc>
          <w:tcPr>
            <w:tcW w:w="2070" w:type="dxa"/>
            <w:tcBorders>
              <w:top w:val="single" w:sz="4" w:space="0" w:color="000000"/>
              <w:start w:val="single" w:sz="4" w:space="0" w:color="000000"/>
              <w:end w:val="double" w:sz="12" w:space="0" w:color="000000"/>
            </w:tcBorders>
            <w:vAlign w:val="center"/>
          </w:tcPr>
          <w:p>
            <w:pPr>
              <w:pStyle w:val="Normal"/>
              <w:spacing w:lineRule="auto" w:line="240" w:before="90" w:after="54"/>
              <w:ind w:hanging="0" w:end="0"/>
              <w:jc w:val="center"/>
              <w:rPr>
                <w:b/>
              </w:rPr>
            </w:pPr>
            <w:r>
              <w:rPr>
                <w:b/>
              </w:rPr>
              <w:t>Well No. 1</w:t>
            </w:r>
          </w:p>
        </w:tc>
      </w:tr>
      <w:tr>
        <w:trPr/>
        <w:tc>
          <w:tcPr>
            <w:tcW w:w="2070" w:type="dxa"/>
            <w:tcBorders>
              <w:top w:val="double" w:sz="12" w:space="0" w:color="000000"/>
              <w:start w:val="double" w:sz="12" w:space="0" w:color="000000"/>
              <w:bottom w:val="single" w:sz="4" w:space="0" w:color="000000"/>
              <w:end w:val="single" w:sz="4" w:space="0" w:color="000000"/>
            </w:tcBorders>
          </w:tcPr>
          <w:p>
            <w:pPr>
              <w:pStyle w:val="Normal"/>
              <w:spacing w:lineRule="auto" w:line="240" w:before="90" w:after="54"/>
              <w:ind w:hanging="0" w:end="0"/>
              <w:jc w:val="center"/>
              <w:rPr>
                <w:b/>
              </w:rPr>
            </w:pPr>
            <w:r>
              <w:rPr>
                <w:b/>
              </w:rPr>
              <w:t>1</w:t>
            </w:r>
          </w:p>
        </w:tc>
        <w:tc>
          <w:tcPr>
            <w:tcW w:w="2132" w:type="dxa"/>
            <w:tcBorders>
              <w:top w:val="double" w:sz="12" w:space="0" w:color="000000"/>
              <w:start w:val="single" w:sz="4" w:space="0" w:color="000000"/>
              <w:bottom w:val="single" w:sz="4" w:space="0" w:color="000000"/>
              <w:end w:val="single" w:sz="4" w:space="0" w:color="000000"/>
            </w:tcBorders>
          </w:tcPr>
          <w:p>
            <w:pPr>
              <w:pStyle w:val="Normal"/>
              <w:snapToGrid w:val="false"/>
              <w:spacing w:lineRule="auto" w:line="240" w:before="90" w:after="54"/>
              <w:ind w:hanging="0" w:end="0"/>
              <w:jc w:val="start"/>
              <w:rPr>
                <w:b/>
              </w:rPr>
            </w:pPr>
            <w:r>
              <w:rPr>
                <w:b/>
              </w:rPr>
            </w:r>
          </w:p>
        </w:tc>
        <w:tc>
          <w:tcPr>
            <w:tcW w:w="2070" w:type="dxa"/>
            <w:tcBorders>
              <w:top w:val="double" w:sz="12" w:space="0" w:color="000000"/>
              <w:start w:val="single" w:sz="4" w:space="0" w:color="000000"/>
              <w:bottom w:val="single" w:sz="4" w:space="0" w:color="000000"/>
              <w:end w:val="double" w:sz="12" w:space="0" w:color="000000"/>
            </w:tcBorders>
          </w:tcPr>
          <w:p>
            <w:pPr>
              <w:pStyle w:val="Normal"/>
              <w:snapToGrid w:val="false"/>
              <w:spacing w:lineRule="auto" w:line="240" w:before="90" w:after="54"/>
              <w:ind w:hanging="0" w:end="0"/>
              <w:jc w:val="start"/>
              <w:rPr>
                <w:b/>
              </w:rPr>
            </w:pPr>
            <w:r>
              <w:rPr>
                <w:b/>
              </w:rPr>
            </w:r>
          </w:p>
        </w:tc>
      </w:tr>
      <w:tr>
        <w:trPr/>
        <w:tc>
          <w:tcPr>
            <w:tcW w:w="2070" w:type="dxa"/>
            <w:tcBorders>
              <w:start w:val="double" w:sz="12" w:space="0" w:color="000000"/>
              <w:bottom w:val="single" w:sz="4" w:space="0" w:color="000000"/>
              <w:end w:val="single" w:sz="4" w:space="0" w:color="000000"/>
            </w:tcBorders>
          </w:tcPr>
          <w:p>
            <w:pPr>
              <w:pStyle w:val="Normal"/>
              <w:spacing w:lineRule="auto" w:line="240" w:before="90" w:after="54"/>
              <w:ind w:hanging="0" w:end="0"/>
              <w:jc w:val="center"/>
              <w:rPr>
                <w:b/>
              </w:rPr>
            </w:pPr>
            <w:r>
              <w:rPr>
                <w:b/>
              </w:rPr>
              <w:t>2</w:t>
            </w:r>
          </w:p>
        </w:tc>
        <w:tc>
          <w:tcPr>
            <w:tcW w:w="2132" w:type="dxa"/>
            <w:tcBorders>
              <w:start w:val="single" w:sz="4" w:space="0" w:color="000000"/>
              <w:bottom w:val="single" w:sz="4" w:space="0" w:color="000000"/>
              <w:end w:val="single" w:sz="4" w:space="0" w:color="000000"/>
            </w:tcBorders>
          </w:tcPr>
          <w:p>
            <w:pPr>
              <w:pStyle w:val="Normal"/>
              <w:snapToGrid w:val="false"/>
              <w:spacing w:lineRule="auto" w:line="240" w:before="90" w:after="54"/>
              <w:ind w:hanging="0" w:end="0"/>
              <w:jc w:val="start"/>
              <w:rPr>
                <w:b/>
              </w:rPr>
            </w:pPr>
            <w:r>
              <w:rPr>
                <w:b/>
              </w:rPr>
            </w:r>
          </w:p>
        </w:tc>
        <w:tc>
          <w:tcPr>
            <w:tcW w:w="2070" w:type="dxa"/>
            <w:tcBorders>
              <w:start w:val="single" w:sz="4" w:space="0" w:color="000000"/>
              <w:bottom w:val="single" w:sz="4" w:space="0" w:color="000000"/>
              <w:end w:val="double" w:sz="12" w:space="0" w:color="000000"/>
            </w:tcBorders>
          </w:tcPr>
          <w:p>
            <w:pPr>
              <w:pStyle w:val="Normal"/>
              <w:snapToGrid w:val="false"/>
              <w:spacing w:lineRule="auto" w:line="240" w:before="90" w:after="54"/>
              <w:ind w:hanging="0" w:end="0"/>
              <w:jc w:val="start"/>
              <w:rPr>
                <w:b/>
              </w:rPr>
            </w:pPr>
            <w:r>
              <w:rPr>
                <w:b/>
              </w:rPr>
            </w:r>
          </w:p>
        </w:tc>
      </w:tr>
      <w:tr>
        <w:trPr/>
        <w:tc>
          <w:tcPr>
            <w:tcW w:w="2070" w:type="dxa"/>
            <w:tcBorders>
              <w:start w:val="double" w:sz="12" w:space="0" w:color="000000"/>
              <w:bottom w:val="single" w:sz="4" w:space="0" w:color="000000"/>
              <w:end w:val="single" w:sz="4" w:space="0" w:color="000000"/>
            </w:tcBorders>
          </w:tcPr>
          <w:p>
            <w:pPr>
              <w:pStyle w:val="Normal"/>
              <w:spacing w:lineRule="auto" w:line="240" w:before="90" w:after="54"/>
              <w:ind w:hanging="0" w:end="0"/>
              <w:jc w:val="center"/>
              <w:rPr>
                <w:b/>
              </w:rPr>
            </w:pPr>
            <w:r>
              <w:rPr>
                <w:b/>
              </w:rPr>
              <w:t>3</w:t>
            </w:r>
          </w:p>
        </w:tc>
        <w:tc>
          <w:tcPr>
            <w:tcW w:w="2132" w:type="dxa"/>
            <w:tcBorders>
              <w:start w:val="single" w:sz="4" w:space="0" w:color="000000"/>
              <w:bottom w:val="single" w:sz="4" w:space="0" w:color="000000"/>
              <w:end w:val="single" w:sz="4" w:space="0" w:color="000000"/>
            </w:tcBorders>
          </w:tcPr>
          <w:p>
            <w:pPr>
              <w:pStyle w:val="Normal"/>
              <w:snapToGrid w:val="false"/>
              <w:spacing w:lineRule="auto" w:line="240" w:before="90" w:after="54"/>
              <w:ind w:hanging="0" w:end="0"/>
              <w:jc w:val="start"/>
              <w:rPr>
                <w:b/>
              </w:rPr>
            </w:pPr>
            <w:r>
              <w:rPr>
                <w:b/>
              </w:rPr>
            </w:r>
          </w:p>
        </w:tc>
        <w:tc>
          <w:tcPr>
            <w:tcW w:w="2070" w:type="dxa"/>
            <w:tcBorders>
              <w:start w:val="single" w:sz="4" w:space="0" w:color="000000"/>
              <w:bottom w:val="single" w:sz="4" w:space="0" w:color="000000"/>
              <w:end w:val="double" w:sz="12" w:space="0" w:color="000000"/>
            </w:tcBorders>
          </w:tcPr>
          <w:p>
            <w:pPr>
              <w:pStyle w:val="Normal"/>
              <w:snapToGrid w:val="false"/>
              <w:spacing w:lineRule="auto" w:line="240" w:before="90" w:after="54"/>
              <w:ind w:hanging="0" w:end="0"/>
              <w:jc w:val="start"/>
              <w:rPr>
                <w:b/>
              </w:rPr>
            </w:pPr>
            <w:r>
              <w:rPr>
                <w:b/>
              </w:rPr>
            </w:r>
          </w:p>
        </w:tc>
      </w:tr>
      <w:tr>
        <w:trPr/>
        <w:tc>
          <w:tcPr>
            <w:tcW w:w="2070" w:type="dxa"/>
            <w:tcBorders>
              <w:start w:val="double" w:sz="12" w:space="0" w:color="000000"/>
              <w:bottom w:val="single" w:sz="4" w:space="0" w:color="000000"/>
              <w:end w:val="single" w:sz="4" w:space="0" w:color="000000"/>
            </w:tcBorders>
          </w:tcPr>
          <w:p>
            <w:pPr>
              <w:pStyle w:val="Normal"/>
              <w:spacing w:lineRule="auto" w:line="240" w:before="90" w:after="54"/>
              <w:ind w:hanging="0" w:end="0"/>
              <w:jc w:val="center"/>
              <w:rPr>
                <w:b/>
              </w:rPr>
            </w:pPr>
            <w:r>
              <w:rPr>
                <w:b/>
              </w:rPr>
              <w:t>4</w:t>
            </w:r>
          </w:p>
        </w:tc>
        <w:tc>
          <w:tcPr>
            <w:tcW w:w="2132" w:type="dxa"/>
            <w:tcBorders>
              <w:start w:val="single" w:sz="4" w:space="0" w:color="000000"/>
              <w:bottom w:val="single" w:sz="4" w:space="0" w:color="000000"/>
              <w:end w:val="single" w:sz="4" w:space="0" w:color="000000"/>
            </w:tcBorders>
          </w:tcPr>
          <w:p>
            <w:pPr>
              <w:pStyle w:val="Normal"/>
              <w:snapToGrid w:val="false"/>
              <w:spacing w:lineRule="auto" w:line="240" w:before="90" w:after="54"/>
              <w:ind w:hanging="0" w:end="0"/>
              <w:jc w:val="start"/>
              <w:rPr>
                <w:b/>
              </w:rPr>
            </w:pPr>
            <w:r>
              <w:rPr>
                <w:b/>
              </w:rPr>
            </w:r>
          </w:p>
        </w:tc>
        <w:tc>
          <w:tcPr>
            <w:tcW w:w="2070" w:type="dxa"/>
            <w:tcBorders>
              <w:start w:val="single" w:sz="4" w:space="0" w:color="000000"/>
              <w:bottom w:val="single" w:sz="4" w:space="0" w:color="000000"/>
              <w:end w:val="double" w:sz="12" w:space="0" w:color="000000"/>
            </w:tcBorders>
          </w:tcPr>
          <w:p>
            <w:pPr>
              <w:pStyle w:val="Normal"/>
              <w:snapToGrid w:val="false"/>
              <w:spacing w:lineRule="auto" w:line="240" w:before="90" w:after="54"/>
              <w:ind w:hanging="0" w:end="0"/>
              <w:jc w:val="start"/>
              <w:rPr>
                <w:b/>
              </w:rPr>
            </w:pPr>
            <w:r>
              <w:rPr>
                <w:b/>
              </w:rPr>
            </w:r>
          </w:p>
        </w:tc>
      </w:tr>
      <w:tr>
        <w:trPr/>
        <w:tc>
          <w:tcPr>
            <w:tcW w:w="4202" w:type="dxa"/>
            <w:gridSpan w:val="2"/>
            <w:tcBorders>
              <w:top w:val="single" w:sz="4" w:space="0" w:color="000000"/>
              <w:start w:val="double" w:sz="12" w:space="0" w:color="000000"/>
              <w:bottom w:val="double" w:sz="12" w:space="0" w:color="000000"/>
              <w:end w:val="single" w:sz="4" w:space="0" w:color="000000"/>
            </w:tcBorders>
          </w:tcPr>
          <w:p>
            <w:pPr>
              <w:pStyle w:val="Normal"/>
              <w:spacing w:lineRule="auto" w:line="240" w:before="90" w:after="54"/>
              <w:ind w:hanging="0" w:end="0"/>
              <w:jc w:val="center"/>
              <w:rPr>
                <w:b/>
              </w:rPr>
            </w:pPr>
            <w:r>
              <w:rPr>
                <w:b/>
              </w:rPr>
              <w:t>Average</w:t>
            </w:r>
          </w:p>
        </w:tc>
        <w:tc>
          <w:tcPr>
            <w:tcW w:w="2070" w:type="dxa"/>
            <w:tcBorders>
              <w:top w:val="single" w:sz="4" w:space="0" w:color="000000"/>
              <w:start w:val="single" w:sz="4" w:space="0" w:color="000000"/>
              <w:bottom w:val="double" w:sz="12" w:space="0" w:color="000000"/>
              <w:end w:val="double" w:sz="12" w:space="0" w:color="000000"/>
            </w:tcBorders>
          </w:tcPr>
          <w:p>
            <w:pPr>
              <w:pStyle w:val="Normal"/>
              <w:snapToGrid w:val="false"/>
              <w:spacing w:lineRule="auto" w:line="240" w:before="90" w:after="54"/>
              <w:ind w:hanging="0" w:end="0"/>
              <w:jc w:val="start"/>
              <w:rPr>
                <w:b/>
              </w:rPr>
            </w:pPr>
            <w:r>
              <w:rPr>
                <w:b/>
              </w:rPr>
            </w:r>
          </w:p>
        </w:tc>
      </w:tr>
    </w:tbl>
    <w:p>
      <w:pPr>
        <w:pStyle w:val="Normal"/>
        <w:spacing w:lineRule="auto" w:line="240" w:before="0" w:after="3900"/>
        <w:ind w:hanging="0" w:end="0"/>
        <w:jc w:val="start"/>
        <w:rPr>
          <w:b/>
        </w:rPr>
      </w:pPr>
      <w:r>
        <w:rPr>
          <w:b/>
        </w:rPr>
      </w:r>
    </w:p>
    <w:p>
      <w:pPr>
        <w:pStyle w:val="Caption"/>
        <w:jc w:val="center"/>
        <w:rPr/>
      </w:pPr>
      <w:bookmarkStart w:id="3" w:name="__RefHeading___Toc519045485"/>
      <w:bookmarkEnd w:id="3"/>
      <w:r>
        <w:rPr/>
        <w:t xml:space="preserve">Figure </w:t>
      </w:r>
      <w:r>
        <w:fldChar w:fldCharType="begin"/>
      </w:r>
      <w:r>
        <w:rPr>
          <w:lang w:val="en-CA" w:eastAsia="en-CA"/>
        </w:rPr>
        <w:instrText xml:space="preserve"> STYLEREF 1 \s </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noBreakHyphen/>
      </w:r>
      <w:r>
        <w:rPr/>
        <w:fldChar w:fldCharType="begin"/>
      </w:r>
      <w:r>
        <w:rPr/>
        <w:instrText xml:space="preserve"> SEQ Figure \* ARABIC </w:instrText>
      </w:r>
      <w:r>
        <w:rPr/>
        <w:fldChar w:fldCharType="separate"/>
      </w:r>
      <w:r>
        <w:rPr/>
        <w:t>2</w:t>
      </w:r>
      <w:r>
        <w:rPr/>
        <w:fldChar w:fldCharType="end"/>
      </w:r>
      <w:r>
        <w:rPr/>
        <w:t>.</w:t>
      </w:r>
      <w:r>
        <w:rPr>
          <w:b w:val="false"/>
        </w:rPr>
        <w:t xml:space="preserve">  Differential Subsidence Report Form for Napoleonville Storage No. 1.</w:t>
      </w:r>
    </w:p>
    <w:p>
      <w:pPr>
        <w:pStyle w:val="Heading1"/>
        <w:ind w:firstLine="288" w:start="0"/>
        <w:rPr/>
      </w:pPr>
      <w:bookmarkStart w:id="4" w:name="__RefHeading___Toc518976856"/>
      <w:bookmarkEnd w:id="4"/>
      <w:r>
        <w:rPr/>
        <w:t>0  EVALUATION OF DIFFERENTIAL SUBSIDENCE</w:t>
      </w:r>
    </w:p>
    <w:p>
      <w:pPr>
        <w:pStyle w:val="Normal"/>
        <w:rPr/>
      </w:pPr>
      <w:r>
        <w:rPr/>
        <w:t>Following each of the semiannual precision level surveys for determining differential subsidence for Well No. 1, the average difference in wellhead elevation between Well No. 1 and the adjacent subsidence monitoring benchmarks will be determined and documented in the form in Figure 2-1.</w:t>
      </w:r>
    </w:p>
    <w:p>
      <w:pPr>
        <w:pStyle w:val="Normal"/>
        <w:rPr/>
      </w:pPr>
      <w:r>
        <w:rPr/>
      </w:r>
    </w:p>
    <w:p>
      <w:pPr>
        <w:pStyle w:val="Normal"/>
        <w:rPr/>
      </w:pPr>
      <w:r>
        <w:rPr/>
        <w:t>The time rate of change in the semiannual wellhead evaluation differences for Well No. 1 (the differential subsidence rate) will be evaluated by Bridgeline in comparison to historical data and any changes in differential subsidence rates will be noted and the cause of the differences will be determined.</w:t>
      </w:r>
    </w:p>
    <w:sectPr>
      <w:footerReference w:type="default" r:id="rId4"/>
      <w:footerReference w:type="first" r:id="rId5"/>
      <w:type w:val="nextPage"/>
      <w:pgSz w:w="12240" w:h="15840"/>
      <w:pgMar w:left="1440" w:right="1440" w:gutter="0" w:header="0" w:top="1440" w:footer="864"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Helvetica Bold">
    <w:altName w:val="Arial"/>
    <w:charset w:val="00" w:characterSet="windows-1252"/>
    <w:family w:val="swiss"/>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ind w:hanging="0" w:end="0"/>
      <w:rPr>
        <w:rFonts w:ascii="Helvetica" w:hAnsi="Helvetica" w:cs="Helvetica"/>
        <w:b/>
        <w:sz w:val="20"/>
      </w:rPr>
    </w:pPr>
    <w:r>
      <w:rPr>
        <w:rFonts w:cs="Helvetica" w:ascii="Helvetica" w:hAnsi="Helvetica"/>
        <w:b/>
        <w:sz w:val="20"/>
      </w:rPr>
      <w:tab/>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4930" cy="155575"/>
              <wp:effectExtent l="0" t="0" r="0" b="0"/>
              <wp:wrapSquare wrapText="bothSides"/>
              <wp:docPr id="1" name="Frame1"/>
              <a:graphic xmlns:a="http://schemas.openxmlformats.org/drawingml/2006/main">
                <a:graphicData uri="http://schemas.microsoft.com/office/word/2010/wordprocessingShape">
                  <wps:wsp>
                    <wps:cNvSpPr txBox="1"/>
                    <wps:spPr>
                      <a:xfrm>
                        <a:off x="0" y="0"/>
                        <a:ext cx="74930" cy="155575"/>
                      </a:xfrm>
                      <a:prstGeom prst="rect"/>
                      <a:solidFill>
                        <a:srgbClr val="FFFFFF">
                          <a:alpha val="0"/>
                        </a:srgbClr>
                      </a:solidFill>
                    </wps:spPr>
                    <wps:txbx>
                      <w:txbxContent>
                        <w:p>
                          <w:pPr>
                            <w:pStyle w:val="Footer"/>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9pt;height:12.25pt;mso-wrap-distance-left:0pt;mso-wrap-distance-right:0pt;mso-wrap-distance-top:0pt;mso-wrap-distance-bottom:0pt;margin-top:0.05pt;mso-position-vertical-relative:text;margin-left:231.05pt;mso-position-horizontal:center;mso-position-horizontal-relative:margin">
              <v:fill opacity="0f"/>
              <v:textbox inset="0in,0in,0in,0in">
                <w:txbxContent>
                  <w:p>
                    <w:pPr>
                      <w:pStyle w:val="Footer"/>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jc w:val="center"/>
      <w:rPr>
        <w:rFonts w:ascii="Helvetica" w:hAnsi="Helvetica" w:cs="Helvetica"/>
        <w:b/>
        <w:sz w:val="20"/>
      </w:rPr>
    </w:pPr>
    <w:r>
      <w:rPr>
        <w:rFonts w:cs="Helvetica" w:ascii="Helvetica" w:hAnsi="Helvetica"/>
        <w:b/>
        <w:sz w:val="20"/>
      </w:rPr>
      <w:tab/>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7310" cy="155575"/>
              <wp:effectExtent l="0" t="0" r="0" b="0"/>
              <wp:wrapSquare wrapText="bothSides"/>
              <wp:docPr id="3" name="Frame2"/>
              <a:graphic xmlns:a="http://schemas.openxmlformats.org/drawingml/2006/main">
                <a:graphicData uri="http://schemas.microsoft.com/office/word/2010/wordprocessingShape">
                  <wps:wsp>
                    <wps:cNvSpPr txBox="1"/>
                    <wps:spPr>
                      <a:xfrm>
                        <a:off x="0" y="0"/>
                        <a:ext cx="67310" cy="155575"/>
                      </a:xfrm>
                      <a:prstGeom prst="rect"/>
                      <a:solidFill>
                        <a:srgbClr val="FFFFFF">
                          <a:alpha val="0"/>
                        </a:srgbClr>
                      </a:solidFill>
                    </wps:spPr>
                    <wps:txbx>
                      <w:txbxContent>
                        <w:p>
                          <w:pPr>
                            <w:pStyle w:val="Footer"/>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3pt;height:12.25pt;mso-wrap-distance-left:0pt;mso-wrap-distance-right:0pt;mso-wrap-distance-top:0pt;mso-wrap-distance-bottom:0pt;margin-top:0.05pt;mso-position-vertical-relative:text;margin-left:231.35pt;mso-position-horizontal:center;mso-position-horizontal-relative:margin">
              <v:fill opacity="0f"/>
              <v:textbox inset="0in,0in,0in,0in">
                <w:txbxContent>
                  <w:p>
                    <w:pPr>
                      <w:pStyle w:val="Footer"/>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hanging="0"/>
      </w:pPr>
    </w:lvl>
    <w:lvl w:ilvl="1">
      <w:start w:val="1"/>
      <w:pStyle w:val="Heading2"/>
      <w:numFmt w:val="decimal"/>
      <w:lvlText w:val="%1.%2"/>
      <w:lvlJc w:val="start"/>
      <w:pPr>
        <w:tabs>
          <w:tab w:val="num" w:pos="432"/>
        </w:tabs>
        <w:ind w:start="432" w:hanging="432"/>
      </w:pPr>
    </w:lvl>
    <w:lvl w:ilvl="2">
      <w:start w:val="1"/>
      <w:pStyle w:val="Heading3"/>
      <w:numFmt w:val="decimal"/>
      <w:lvlText w:val="%1.%2.%3"/>
      <w:lvlJc w:val="start"/>
      <w:pPr>
        <w:tabs>
          <w:tab w:val="num" w:pos="619"/>
        </w:tabs>
        <w:ind w:start="619" w:hanging="619"/>
      </w:pPr>
    </w:lvl>
    <w:lvl w:ilvl="3">
      <w:start w:val="1"/>
      <w:pStyle w:val="Heading4"/>
      <w:numFmt w:val="decimal"/>
      <w:lvlText w:val="%1.%2.%3.%4"/>
      <w:lvlJc w:val="start"/>
      <w:pPr>
        <w:tabs>
          <w:tab w:val="num" w:pos="1080"/>
        </w:tabs>
        <w:ind w:start="835" w:hanging="835"/>
      </w:pPr>
    </w:lvl>
    <w:lvl w:ilvl="4">
      <w:start w:val="1"/>
      <w:pStyle w:val="Heading5"/>
      <w:numFmt w:val="decimal"/>
      <w:lvlText w:val="%1.%2.%3.%4.%5"/>
      <w:lvlJc w:val="start"/>
      <w:pPr>
        <w:tabs>
          <w:tab w:val="num" w:pos="0"/>
        </w:tabs>
        <w:ind w:start="0" w:hanging="0"/>
      </w:pPr>
    </w:lvl>
    <w:lvl w:ilvl="5">
      <w:start w:val="1"/>
      <w:pStyle w:val="Heading6"/>
      <w:numFmt w:val="decimal"/>
      <w:lvlText w:val="%1.%2.%3.%4.%5.%6"/>
      <w:lvlJc w:val="start"/>
      <w:pPr>
        <w:tabs>
          <w:tab w:val="num" w:pos="0"/>
        </w:tabs>
        <w:ind w:start="0" w:hanging="0"/>
      </w:pPr>
    </w:lvl>
    <w:lvl w:ilvl="6">
      <w:start w:val="1"/>
      <w:pStyle w:val="Heading7"/>
      <w:numFmt w:val="decimal"/>
      <w:lvlText w:val="%1.%2.%3.%4.%5.%6.%7"/>
      <w:lvlJc w:val="start"/>
      <w:pPr>
        <w:tabs>
          <w:tab w:val="num" w:pos="0"/>
        </w:tabs>
        <w:ind w:start="0" w:hanging="0"/>
      </w:p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abstractNum w:abstractNumId="2">
    <w:lvl w:ilvl="0">
      <w:start w:val="1"/>
      <w:numFmt w:val="bullet"/>
      <w:lvlText w:val=""/>
      <w:lvlJc w:val="start"/>
      <w:pPr>
        <w:tabs>
          <w:tab w:val="num" w:pos="0"/>
        </w:tabs>
        <w:ind w:start="648" w:hanging="288"/>
      </w:pPr>
      <w:rPr>
        <w:rFonts w:ascii="Symbol" w:hAnsi="Symbol" w:cs="Symbol" w:hint="default"/>
        <w:color w:val="auto"/>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uto" w:line="288"/>
      <w:ind w:firstLine="288" w:start="0" w:end="0"/>
      <w:jc w:val="both"/>
    </w:pPr>
    <w:rPr>
      <w:rFonts w:ascii="NewCenturySchlbk" w:hAnsi="NewCenturySchlbk" w:eastAsia="Times New Roman" w:cs="NewCenturySchlbk"/>
      <w:color w:val="auto"/>
      <w:sz w:val="21"/>
      <w:szCs w:val="20"/>
      <w:lang w:val="en-US" w:bidi="ar-SA" w:eastAsia="zh-CN"/>
    </w:rPr>
  </w:style>
  <w:style w:type="paragraph" w:styleId="Heading1">
    <w:name w:val="heading 1"/>
    <w:basedOn w:val="Normal"/>
    <w:next w:val="Normal"/>
    <w:qFormat/>
    <w:pPr>
      <w:keepNext w:val="true"/>
      <w:numPr>
        <w:ilvl w:val="0"/>
        <w:numId w:val="1"/>
      </w:numPr>
      <w:spacing w:before="0" w:after="560"/>
      <w:jc w:val="center"/>
      <w:outlineLvl w:val="0"/>
    </w:pPr>
    <w:rPr>
      <w:rFonts w:ascii="Helvetica Bold;Arial" w:hAnsi="Helvetica Bold;Arial" w:cs="Helvetica Bold;Arial"/>
      <w:b/>
      <w:spacing w:val="-2"/>
      <w:sz w:val="28"/>
    </w:rPr>
  </w:style>
  <w:style w:type="paragraph" w:styleId="Heading2">
    <w:name w:val="heading 2"/>
    <w:basedOn w:val="Normal"/>
    <w:next w:val="Normal"/>
    <w:qFormat/>
    <w:pPr>
      <w:keepNext w:val="true"/>
      <w:numPr>
        <w:ilvl w:val="1"/>
        <w:numId w:val="1"/>
      </w:numPr>
      <w:spacing w:lineRule="auto" w:line="240" w:before="560" w:after="280"/>
      <w:outlineLvl w:val="1"/>
    </w:pPr>
    <w:rPr>
      <w:rFonts w:ascii="Helvetica Bold;Arial" w:hAnsi="Helvetica Bold;Arial" w:cs="Helvetica Bold;Arial"/>
      <w:b/>
      <w:sz w:val="24"/>
    </w:rPr>
  </w:style>
  <w:style w:type="paragraph" w:styleId="Heading3">
    <w:name w:val="heading 3"/>
    <w:basedOn w:val="Normal"/>
    <w:next w:val="Normal"/>
    <w:qFormat/>
    <w:pPr>
      <w:keepNext w:val="true"/>
      <w:numPr>
        <w:ilvl w:val="2"/>
        <w:numId w:val="1"/>
      </w:numPr>
      <w:spacing w:lineRule="auto" w:line="240" w:before="280" w:after="280"/>
      <w:outlineLvl w:val="2"/>
    </w:pPr>
    <w:rPr>
      <w:rFonts w:ascii="Helvetica Bold;Arial" w:hAnsi="Helvetica Bold;Arial" w:cs="Helvetica Bold;Arial"/>
      <w:b/>
      <w:sz w:val="22"/>
    </w:rPr>
  </w:style>
  <w:style w:type="paragraph" w:styleId="Heading4">
    <w:name w:val="heading 4"/>
    <w:basedOn w:val="Normal"/>
    <w:next w:val="Normal"/>
    <w:qFormat/>
    <w:pPr>
      <w:keepNext w:val="true"/>
      <w:numPr>
        <w:ilvl w:val="3"/>
        <w:numId w:val="1"/>
      </w:numPr>
      <w:tabs>
        <w:tab w:val="clear" w:pos="720"/>
        <w:tab w:val="left" w:pos="835" w:leader="none"/>
      </w:tabs>
      <w:spacing w:lineRule="auto" w:line="240" w:before="280" w:after="280"/>
      <w:outlineLvl w:val="3"/>
    </w:pPr>
    <w:rPr>
      <w:rFonts w:ascii="Helvetica Bold;Arial" w:hAnsi="Helvetica Bold;Arial" w:cs="Helvetica Bold;Arial"/>
      <w:b/>
      <w:sz w:val="22"/>
    </w:rPr>
  </w:style>
  <w:style w:type="paragraph" w:styleId="Heading5">
    <w:name w:val="heading 5"/>
    <w:basedOn w:val="Normal"/>
    <w:next w:val="Normal"/>
    <w:qFormat/>
    <w:pPr>
      <w:numPr>
        <w:ilvl w:val="4"/>
        <w:numId w:val="1"/>
      </w:numPr>
      <w:spacing w:before="280" w:after="0"/>
      <w:outlineLvl w:val="4"/>
    </w:pPr>
    <w:rPr>
      <w:rFonts w:ascii="Helvetica Bold;Arial" w:hAnsi="Helvetica Bold;Arial" w:cs="Helvetica Bold;Arial"/>
      <w:b/>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color w:val="auto"/>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MTEquationSection">
    <w:name w:val="MTEquationSection"/>
    <w:basedOn w:val="DefaultParagraphFont"/>
    <w:qFormat/>
    <w:rPr>
      <w:vanish w:val="false"/>
      <w:color w:val="FF000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ind w:hanging="0" w:start="0" w:end="0"/>
      <w:jc w:val="center"/>
    </w:pPr>
    <w:rPr>
      <w:rFonts w:ascii="Helvetica" w:hAnsi="Helvetica" w:cs="Helvetica"/>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lineRule="auto" w:line="240" w:before="200" w:after="200"/>
      <w:ind w:hanging="0" w:start="0" w:end="0"/>
    </w:pPr>
    <w:rPr>
      <w:b/>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spacing w:before="0" w:after="144"/>
    </w:pPr>
    <w:rPr/>
  </w:style>
  <w:style w:type="paragraph" w:styleId="TOC5">
    <w:name w:val="toc 5"/>
    <w:basedOn w:val="Normal"/>
    <w:next w:val="Normal"/>
    <w:pPr>
      <w:tabs>
        <w:tab w:val="clear" w:pos="720"/>
        <w:tab w:val="right" w:pos="9360" w:leader="dot"/>
      </w:tabs>
      <w:ind w:firstLine="288" w:start="840" w:end="0"/>
    </w:pPr>
    <w:rPr/>
  </w:style>
  <w:style w:type="paragraph" w:styleId="TOC6">
    <w:name w:val="toc 6"/>
    <w:basedOn w:val="Normal"/>
    <w:next w:val="Normal"/>
    <w:pPr>
      <w:tabs>
        <w:tab w:val="clear" w:pos="720"/>
        <w:tab w:val="right" w:pos="9360" w:leader="dot"/>
      </w:tabs>
      <w:ind w:firstLine="288" w:start="1050" w:end="0"/>
    </w:pPr>
    <w:rPr/>
  </w:style>
  <w:style w:type="paragraph" w:styleId="TOC7">
    <w:name w:val="toc 7"/>
    <w:basedOn w:val="Normal"/>
    <w:next w:val="Normal"/>
    <w:pPr>
      <w:tabs>
        <w:tab w:val="clear" w:pos="720"/>
        <w:tab w:val="right" w:pos="9360" w:leader="dot"/>
      </w:tabs>
      <w:ind w:firstLine="288" w:start="1260" w:end="0"/>
    </w:pPr>
    <w:rPr/>
  </w:style>
  <w:style w:type="paragraph" w:styleId="NUMBER">
    <w:name w:val="NUMBER"/>
    <w:basedOn w:val="Normal"/>
    <w:qFormat/>
    <w:pPr>
      <w:numPr>
        <w:ilvl w:val="0"/>
        <w:numId w:val="3"/>
      </w:numPr>
      <w:spacing w:before="0" w:after="144"/>
      <w:ind w:hanging="288" w:start="648" w:end="0"/>
    </w:pPr>
    <w:rPr>
      <w:kern w:val="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quation">
    <w:name w:val="equation"/>
    <w:basedOn w:val="Normal"/>
    <w:next w:val="Normal"/>
    <w:qFormat/>
    <w:pPr>
      <w:tabs>
        <w:tab w:val="clear" w:pos="720"/>
        <w:tab w:val="center" w:pos="4680" w:leader="none"/>
        <w:tab w:val="right" w:pos="9360" w:leader="none"/>
      </w:tabs>
      <w:spacing w:lineRule="auto" w:line="240" w:before="200" w:after="200"/>
      <w:ind w:hanging="0" w:start="0" w:end="0"/>
    </w:pPr>
    <w:rPr/>
  </w:style>
  <w:style w:type="paragraph" w:styleId="FootnoteText">
    <w:name w:val="footnote text"/>
    <w:basedOn w:val="Normal"/>
    <w:pPr>
      <w:spacing w:lineRule="auto" w:line="240" w:before="0" w:after="160"/>
      <w:ind w:hanging="187" w:start="187" w:end="0"/>
    </w:pPr>
    <w:rPr>
      <w:sz w:val="18"/>
    </w:rPr>
  </w:style>
  <w:style w:type="paragraph" w:styleId="Closing">
    <w:name w:val="Closing"/>
    <w:basedOn w:val="Normal"/>
    <w:next w:val="Normal"/>
    <w:pPr>
      <w:keepNext w:val="true"/>
      <w:spacing w:lineRule="auto" w:line="240" w:before="0" w:after="560"/>
      <w:ind w:hanging="0" w:start="0" w:end="0"/>
      <w:jc w:val="center"/>
    </w:pPr>
    <w:rPr>
      <w:rFonts w:ascii="Helvetica Bold;Arial" w:hAnsi="Helvetica Bold;Arial" w:cs="Helvetica Bold;Arial"/>
      <w:b/>
      <w:caps/>
      <w:spacing w:val="-2"/>
      <w:sz w:val="28"/>
    </w:rPr>
  </w:style>
  <w:style w:type="paragraph" w:styleId="TOC8">
    <w:name w:val="toc 8"/>
    <w:basedOn w:val="Normal"/>
    <w:next w:val="Normal"/>
    <w:pPr>
      <w:tabs>
        <w:tab w:val="clear" w:pos="720"/>
        <w:tab w:val="right" w:pos="9360" w:leader="dot"/>
      </w:tabs>
      <w:ind w:firstLine="288" w:start="1470" w:end="0"/>
    </w:pPr>
    <w:rPr/>
  </w:style>
  <w:style w:type="paragraph" w:styleId="TOC1">
    <w:name w:val="toc 1"/>
    <w:basedOn w:val="Normal"/>
    <w:next w:val="Normal"/>
    <w:pPr>
      <w:tabs>
        <w:tab w:val="clear" w:pos="720"/>
        <w:tab w:val="left" w:pos="446" w:leader="none"/>
        <w:tab w:val="left" w:pos="8827" w:leader="dot"/>
        <w:tab w:val="right" w:pos="9360" w:leader="none"/>
      </w:tabs>
      <w:spacing w:lineRule="auto" w:line="240" w:before="160" w:after="80"/>
      <w:ind w:hanging="0" w:start="0" w:end="533"/>
    </w:pPr>
    <w:rPr>
      <w:b/>
      <w:caps/>
    </w:rPr>
  </w:style>
  <w:style w:type="paragraph" w:styleId="TOC2">
    <w:name w:val="toc 2"/>
    <w:basedOn w:val="Normal"/>
    <w:next w:val="Normal"/>
    <w:pPr>
      <w:tabs>
        <w:tab w:val="clear" w:pos="720"/>
        <w:tab w:val="left" w:pos="950" w:leader="none"/>
        <w:tab w:val="left" w:pos="8827" w:leader="dot"/>
        <w:tab w:val="right" w:pos="9360" w:leader="none"/>
      </w:tabs>
      <w:spacing w:lineRule="auto" w:line="240" w:before="0" w:after="80"/>
      <w:ind w:hanging="504" w:start="950" w:end="533"/>
    </w:pPr>
    <w:rPr>
      <w:caps/>
      <w:lang w:val="en-CA" w:eastAsia="en-CA"/>
    </w:rPr>
  </w:style>
  <w:style w:type="paragraph" w:styleId="TOC3">
    <w:name w:val="toc 3"/>
    <w:basedOn w:val="Normal"/>
    <w:next w:val="Normal"/>
    <w:pPr>
      <w:tabs>
        <w:tab w:val="clear" w:pos="720"/>
        <w:tab w:val="left" w:pos="1575" w:leader="none"/>
        <w:tab w:val="left" w:pos="8827" w:leader="dot"/>
        <w:tab w:val="right" w:pos="9360" w:leader="none"/>
      </w:tabs>
      <w:spacing w:lineRule="auto" w:line="240" w:before="0" w:after="80"/>
      <w:ind w:hanging="630" w:start="1575" w:end="533"/>
    </w:pPr>
    <w:rPr>
      <w:lang w:val="en-CA" w:eastAsia="en-CA"/>
    </w:rPr>
  </w:style>
  <w:style w:type="paragraph" w:styleId="TOC4">
    <w:name w:val="toc 4"/>
    <w:basedOn w:val="Normal"/>
    <w:next w:val="Normal"/>
    <w:pPr>
      <w:tabs>
        <w:tab w:val="clear" w:pos="720"/>
        <w:tab w:val="left" w:pos="8827" w:leader="dot"/>
        <w:tab w:val="right" w:pos="9360" w:leader="none"/>
      </w:tabs>
      <w:spacing w:lineRule="auto" w:line="240" w:before="0" w:after="80"/>
      <w:ind w:hanging="738" w:start="2295" w:end="533"/>
    </w:pPr>
    <w:rPr>
      <w:lang w:val="en-CA" w:eastAsia="en-CA"/>
    </w:rPr>
  </w:style>
  <w:style w:type="paragraph" w:styleId="TableofFigures">
    <w:name w:val="Table of Figures"/>
    <w:basedOn w:val="Normal"/>
    <w:next w:val="Normal"/>
    <w:qFormat/>
    <w:pPr>
      <w:tabs>
        <w:tab w:val="clear" w:pos="720"/>
        <w:tab w:val="left" w:pos="778" w:leader="none"/>
        <w:tab w:val="left" w:pos="8827" w:leader="dot"/>
        <w:tab w:val="right" w:pos="9274" w:leader="none"/>
      </w:tabs>
      <w:spacing w:lineRule="auto" w:line="240" w:before="0" w:after="120"/>
      <w:ind w:hanging="576" w:start="792" w:end="576"/>
    </w:pPr>
    <w:rPr/>
  </w:style>
  <w:style w:type="paragraph" w:styleId="TOC9">
    <w:name w:val="toc 9"/>
    <w:basedOn w:val="Normal"/>
    <w:next w:val="Normal"/>
    <w:pPr>
      <w:tabs>
        <w:tab w:val="clear" w:pos="720"/>
        <w:tab w:val="right" w:pos="9360" w:leader="dot"/>
      </w:tabs>
      <w:ind w:firstLine="288" w:start="1680" w:end="0"/>
    </w:pPr>
    <w:rPr/>
  </w:style>
  <w:style w:type="paragraph" w:styleId="BodyTextIndent">
    <w:name w:val="Body Text Indent"/>
    <w:basedOn w:val="Normal"/>
    <w:pPr/>
    <w:rPr/>
  </w:style>
  <w:style w:type="paragraph" w:styleId="MTDisplayEquation">
    <w:name w:val="MTDisplayEquation"/>
    <w:basedOn w:val="Normal"/>
    <w:next w:val="Normal"/>
    <w:qFormat/>
    <w:pPr>
      <w:tabs>
        <w:tab w:val="clear" w:pos="720"/>
        <w:tab w:val="center" w:pos="4680" w:leader="none"/>
        <w:tab w:val="right" w:pos="9360" w:leader="none"/>
      </w:tabs>
      <w:spacing w:before="200" w:after="2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2001-07-06T17:43:00Z</dcterms:created>
  <dc:creator>Computer Services</dc:creator>
  <dc:description/>
  <dc:language>en-CA</dc:language>
  <cp:lastModifiedBy>lhand</cp:lastModifiedBy>
  <cp:lastPrinted>2001-07-06T15:08:00Z</cp:lastPrinted>
  <dcterms:modified xsi:type="dcterms:W3CDTF">2001-07-06T17:43:00Z</dcterms:modified>
  <cp:revision>2</cp:revision>
  <dc:subject/>
  <dc:title>FOREWORD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MTPreferenceSource">
    <vt:lpwstr>RESPEC.EQP</vt:lpwstr>
  </property>
  <property fmtid="{D5CDD505-2E9C-101B-9397-08002B2CF9AE}" pid="5" name="MTPreferences">
    <vt:lpwstr>[Styles]
Text=Century Schoolbook
Function=Century Schoolbook
Variable=Century Schoolbook,I
LCGreek=Symbol
UCGreek=Symbol
Symbol=Symbol
Vector=Century Schoolbook,B
Number=Century Schoolbook
User1=Century Schoolbook
User2=Century Schoolbook
MTExt</vt:lpwstr>
  </property>
  <property fmtid="{D5CDD505-2E9C-101B-9397-08002B2CF9AE}" pid="6" name="MTPreferences 1">
    <vt:lpwstr>ra=MT Extra
[Sizes]
Full=10.5 pt
Script=6 pt
ScriptScript=4.5 pt
Symbol=20 pt
SubSymbol=10.5 pt
User1=8.5 pt
User2=20 pt
SmallLargeIncr=1 pt
[Spacing]
LineSpacing=200 %
MatrixRowSpacing=150 %
MatrixColSpacing=100 %
SuperscriptHeight=45 %</vt:lpwstr>
  </property>
  <property fmtid="{D5CDD505-2E9C-101B-9397-08002B2CF9AE}" pid="7" name="MTPreferences 2">
    <vt:lpwstr>
SubscriptDepth=25 %
SubSupGap=11 %
LimHeight=25 %
LimDepth=100 %
LimLineSpacing=100 %
NumerHeight=35 %
DenomDepth=100 %
FractBarOver=1 pt
FractBarThick=0.5 pt
SubFractBarThick=0.25 pt
FractGap=8 %
FenceOver=1 pt
OperSpacing=100 %
NonOperSpa</vt:lpwstr>
  </property>
  <property fmtid="{D5CDD505-2E9C-101B-9397-08002B2CF9AE}" pid="8" name="MTPreferences 3">
    <vt:lpwstr>cing=100 %
CharWidth=0 %
MinGap=8 %
VertRadGap=17 %
HorizRadGap=8 %
RadWidth=100 %
EmbellGap=1.5 pt
PrimeHeight=45 %
BoxStrokeThick=5 %
StikeThruThick=5 %
MatrixLineThick=5 %
RadStrokeThick=5 %
HorizFenceGap=10 %
</vt:lpwstr>
  </property>
</Properties>
</file>