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WSCC Path 26</w:t>
      </w:r>
    </w:p>
    <w:p>
      <w:pPr>
        <w:pStyle w:val="Normal"/>
        <w:jc w:val="center"/>
        <w:rPr>
          <w:b/>
          <w:sz w:val="32"/>
        </w:rPr>
      </w:pPr>
      <w:r>
        <w:rPr>
          <w:b/>
          <w:sz w:val="32"/>
        </w:rPr>
        <w:t xml:space="preserve">Midway-Vincent Rating Increase </w:t>
      </w:r>
    </w:p>
    <w:p>
      <w:pPr>
        <w:pStyle w:val="Heading5"/>
        <w:ind w:hanging="0" w:start="0"/>
        <w:rPr/>
      </w:pPr>
      <w:r>
        <w:rPr/>
        <w:t>Study Plan</w:t>
      </w:r>
    </w:p>
    <w:p>
      <w:pPr>
        <w:pStyle w:val="Normal"/>
        <w:jc w:val="center"/>
        <w:rPr>
          <w:sz w:val="32"/>
        </w:rPr>
      </w:pPr>
      <w:r>
        <w:rPr>
          <w:sz w:val="32"/>
        </w:rPr>
      </w:r>
    </w:p>
    <w:p>
      <w:pPr>
        <w:pStyle w:val="Normal"/>
        <w:jc w:val="center"/>
        <w:rPr>
          <w:sz w:val="32"/>
        </w:rPr>
      </w:pPr>
      <w:r>
        <w:rPr>
          <w:sz w:val="32"/>
        </w:rPr>
      </w:r>
    </w:p>
    <w:p>
      <w:pPr>
        <w:pStyle w:val="Heading2"/>
        <w:ind w:hanging="0" w:start="0"/>
        <w:rPr>
          <w:b/>
          <w:sz w:val="28"/>
        </w:rPr>
      </w:pPr>
      <w:r>
        <w:rPr>
          <w:b/>
          <w:sz w:val="28"/>
        </w:rPr>
        <w:t>Background</w:t>
      </w:r>
    </w:p>
    <w:p>
      <w:pPr>
        <w:pStyle w:val="Normal"/>
        <w:rPr>
          <w:b/>
          <w:sz w:val="28"/>
        </w:rPr>
      </w:pPr>
      <w:r>
        <w:rPr>
          <w:b/>
          <w:sz w:val="28"/>
        </w:rPr>
      </w:r>
    </w:p>
    <w:p>
      <w:pPr>
        <w:pStyle w:val="Normal"/>
        <w:rPr/>
      </w:pPr>
      <w:r>
        <w:rPr/>
        <w:t>Representatives from Southern California Edison (SCE), Pacific Gas &amp; Electric Company (PG&amp;E), and the California ISO (Cal-ISO) met on October 10, 2000 to initiate efforts to increase the rating on the WSCC Path 26 (Midway-Vincent 500 kV path).  The following are the major issues that were discussed at the meeting:</w:t>
      </w:r>
    </w:p>
    <w:p>
      <w:pPr>
        <w:pStyle w:val="Normal"/>
        <w:rPr/>
      </w:pPr>
      <w:r>
        <w:rPr/>
      </w:r>
    </w:p>
    <w:p>
      <w:pPr>
        <w:pStyle w:val="Normal"/>
        <w:numPr>
          <w:ilvl w:val="0"/>
          <w:numId w:val="6"/>
        </w:numPr>
        <w:rPr/>
      </w:pPr>
      <w:r>
        <w:rPr/>
        <w:t>The need for increasing the path rating;</w:t>
      </w:r>
    </w:p>
    <w:p>
      <w:pPr>
        <w:pStyle w:val="Header"/>
        <w:tabs>
          <w:tab w:val="clear" w:pos="4320"/>
          <w:tab w:val="clear" w:pos="8640"/>
        </w:tabs>
        <w:rPr/>
      </w:pPr>
      <w:r>
        <w:rPr/>
      </w:r>
    </w:p>
    <w:p>
      <w:pPr>
        <w:pStyle w:val="Normal"/>
        <w:numPr>
          <w:ilvl w:val="0"/>
          <w:numId w:val="6"/>
        </w:numPr>
        <w:rPr/>
      </w:pPr>
      <w:r>
        <w:rPr/>
        <w:t>Expected future levels of congestion on Path 26.</w:t>
      </w:r>
    </w:p>
    <w:p>
      <w:pPr>
        <w:pStyle w:val="Normal"/>
        <w:rPr/>
      </w:pPr>
      <w:r>
        <w:rPr/>
      </w:r>
    </w:p>
    <w:p>
      <w:pPr>
        <w:pStyle w:val="Normal"/>
        <w:rPr/>
      </w:pPr>
      <w:r>
        <w:rPr/>
        <w:t>The congestion costs on Path 26 over the last two to three years suggest that a path increase rating at this time may be justified.  In addition, there are a number of generation developments in the vicinity of Midway Substation area that were projected to be on-line in late 2001 and early 2002.  The increase of generation levels in the Midway area would require the need to increase the existing path rating to accommodate the additional power transfer from north to south direction.  Lastly, future up-rate of WSCC Path 15 (Los Banos-Gates-Midway path) may cause some impacts on Path 26.</w:t>
      </w:r>
    </w:p>
    <w:p>
      <w:pPr>
        <w:pStyle w:val="Normal"/>
        <w:rPr/>
      </w:pPr>
      <w:r>
        <w:rPr/>
      </w:r>
    </w:p>
    <w:p>
      <w:pPr>
        <w:pStyle w:val="Heading2"/>
        <w:ind w:hanging="0" w:start="0"/>
        <w:rPr>
          <w:b/>
          <w:sz w:val="28"/>
        </w:rPr>
      </w:pPr>
      <w:r>
        <w:rPr>
          <w:b/>
          <w:sz w:val="28"/>
        </w:rPr>
        <w:t>Study Objectives</w:t>
      </w:r>
    </w:p>
    <w:p>
      <w:pPr>
        <w:pStyle w:val="Heading7"/>
        <w:ind w:hanging="0" w:start="0"/>
        <w:rPr>
          <w:i w:val="false"/>
          <w:i w:val="false"/>
        </w:rPr>
      </w:pPr>
      <w:r>
        <w:rPr>
          <w:b/>
        </w:rPr>
        <w:t>The primary objective is to achieve the WSCC approval on the Path 26 rating increase in the North-to-South direction in association with the short-term plan at this time.  Sensitivity study would also be needed to determine if the new recommended path rating is also bi-directional.</w:t>
      </w:r>
    </w:p>
    <w:p>
      <w:pPr>
        <w:pStyle w:val="Header"/>
        <w:tabs>
          <w:tab w:val="clear" w:pos="4320"/>
          <w:tab w:val="clear" w:pos="8640"/>
        </w:tabs>
        <w:rPr>
          <w:i/>
          <w:i/>
        </w:rPr>
      </w:pPr>
      <w:r>
        <w:rPr>
          <w:i/>
        </w:rPr>
      </w:r>
    </w:p>
    <w:p>
      <w:pPr>
        <w:pStyle w:val="Normal"/>
        <w:numPr>
          <w:ilvl w:val="0"/>
          <w:numId w:val="7"/>
        </w:numPr>
        <w:rPr/>
      </w:pPr>
      <w:r>
        <w:rPr/>
        <w:t>Develop short-term and long-term alternatives for increasing Path 26 rating;</w:t>
      </w:r>
    </w:p>
    <w:p>
      <w:pPr>
        <w:pStyle w:val="Normal"/>
        <w:numPr>
          <w:ilvl w:val="0"/>
          <w:numId w:val="7"/>
        </w:numPr>
        <w:rPr/>
      </w:pPr>
      <w:r>
        <w:rPr/>
        <w:t>Analyze future congestion costs under various new generation and Path 26 rating scenarios;</w:t>
      </w:r>
    </w:p>
    <w:p>
      <w:pPr>
        <w:pStyle w:val="Normal"/>
        <w:numPr>
          <w:ilvl w:val="0"/>
          <w:numId w:val="7"/>
        </w:numPr>
        <w:rPr/>
      </w:pPr>
      <w:r>
        <w:rPr/>
        <w:t>Perform economic analysis of alternatives;</w:t>
      </w:r>
    </w:p>
    <w:p>
      <w:pPr>
        <w:pStyle w:val="Normal"/>
        <w:numPr>
          <w:ilvl w:val="0"/>
          <w:numId w:val="7"/>
        </w:numPr>
        <w:rPr/>
      </w:pPr>
      <w:r>
        <w:rPr/>
        <w:t>Recommend preferred option for increasing Path 26 capability.</w:t>
      </w:r>
    </w:p>
    <w:p>
      <w:pPr>
        <w:pStyle w:val="Normal"/>
        <w:rPr/>
      </w:pPr>
      <w:r>
        <w:rPr/>
      </w:r>
    </w:p>
    <w:p>
      <w:pPr>
        <w:pStyle w:val="Heading2"/>
        <w:ind w:hanging="0" w:start="0"/>
        <w:rPr>
          <w:b/>
          <w:sz w:val="28"/>
        </w:rPr>
      </w:pPr>
      <w:r>
        <w:rPr>
          <w:b/>
          <w:sz w:val="28"/>
        </w:rPr>
        <w:t>Alternatives for Increasing Path 26 Rating</w:t>
      </w:r>
    </w:p>
    <w:p>
      <w:pPr>
        <w:pStyle w:val="Normal"/>
        <w:rPr>
          <w:b/>
          <w:sz w:val="28"/>
        </w:rPr>
      </w:pPr>
      <w:r>
        <w:rPr>
          <w:b/>
          <w:sz w:val="28"/>
        </w:rPr>
      </w:r>
    </w:p>
    <w:p>
      <w:pPr>
        <w:pStyle w:val="Normal"/>
        <w:rPr/>
      </w:pPr>
      <w:r>
        <w:rPr/>
        <w:t>The following alternatives were developed by the Study Group members to be evaluated.  The Study Group also decided, as a starting point, consideration of various projects to accommodate a 4000 MW path rating.  Based on the study results, other alternatives may also be developed.</w:t>
      </w:r>
    </w:p>
    <w:p>
      <w:pPr>
        <w:pStyle w:val="Normal"/>
        <w:rPr/>
      </w:pPr>
      <w:r>
        <w:rPr/>
      </w:r>
    </w:p>
    <w:p>
      <w:pPr>
        <w:pStyle w:val="Heading3"/>
        <w:ind w:hanging="0" w:start="0"/>
        <w:rPr>
          <w:sz w:val="28"/>
        </w:rPr>
      </w:pPr>
      <w:r>
        <w:rPr>
          <w:sz w:val="28"/>
        </w:rPr>
        <w:t>Short-Term Plan (2002-2005)</w:t>
      </w:r>
    </w:p>
    <w:p>
      <w:pPr>
        <w:pStyle w:val="Normal"/>
        <w:rPr>
          <w:b/>
          <w:sz w:val="28"/>
        </w:rPr>
      </w:pPr>
      <w:r>
        <w:rPr>
          <w:b/>
          <w:sz w:val="28"/>
        </w:rPr>
      </w:r>
    </w:p>
    <w:p>
      <w:pPr>
        <w:pStyle w:val="Heading3"/>
        <w:ind w:hanging="0" w:start="0"/>
        <w:rPr/>
      </w:pPr>
      <w:r>
        <w:rPr/>
        <w:t>Option 1 – Install Remedial Action Schemes (RAS)</w:t>
      </w:r>
    </w:p>
    <w:p>
      <w:pPr>
        <w:pStyle w:val="Normal"/>
        <w:rPr/>
      </w:pPr>
      <w:r>
        <w:rPr/>
        <w:t>Proposed RAS for generation curtailment and load dropping will be investigated in the studies.</w:t>
      </w:r>
    </w:p>
    <w:p>
      <w:pPr>
        <w:pStyle w:val="Normal"/>
        <w:rPr/>
      </w:pPr>
      <w:r>
        <w:rPr/>
      </w:r>
    </w:p>
    <w:p>
      <w:pPr>
        <w:pStyle w:val="Heading3"/>
        <w:ind w:hanging="0" w:start="0"/>
        <w:rPr/>
      </w:pPr>
      <w:r>
        <w:rPr/>
        <w:t>Option 2 – Increase Midway-Vincent #3 500 kV line rating</w:t>
      </w:r>
    </w:p>
    <w:p>
      <w:pPr>
        <w:pStyle w:val="Normal"/>
        <w:rPr/>
      </w:pPr>
      <w:r>
        <w:rPr/>
        <w:t>The line rating will be increased by replacing components as necessary.</w:t>
      </w:r>
    </w:p>
    <w:p>
      <w:pPr>
        <w:pStyle w:val="Normal"/>
        <w:rPr>
          <w:b/>
        </w:rPr>
      </w:pPr>
      <w:r>
        <w:rPr>
          <w:b/>
        </w:rPr>
      </w:r>
    </w:p>
    <w:p>
      <w:pPr>
        <w:pStyle w:val="Normal"/>
        <w:rPr>
          <w:b/>
        </w:rPr>
      </w:pPr>
      <w:r>
        <w:rPr>
          <w:b/>
        </w:rPr>
      </w:r>
    </w:p>
    <w:p>
      <w:pPr>
        <w:pStyle w:val="Heading3"/>
        <w:ind w:hanging="0" w:start="0"/>
        <w:rPr>
          <w:sz w:val="28"/>
        </w:rPr>
      </w:pPr>
      <w:r>
        <w:rPr>
          <w:sz w:val="28"/>
        </w:rPr>
        <w:t>Long-Term Plan (2006 – 2011)</w:t>
      </w:r>
    </w:p>
    <w:p>
      <w:pPr>
        <w:pStyle w:val="Normal"/>
        <w:rPr>
          <w:sz w:val="28"/>
        </w:rPr>
      </w:pPr>
      <w:r>
        <w:rPr>
          <w:sz w:val="28"/>
        </w:rPr>
      </w:r>
    </w:p>
    <w:p>
      <w:pPr>
        <w:pStyle w:val="Heading3"/>
        <w:ind w:hanging="0" w:start="0"/>
        <w:rPr/>
      </w:pPr>
      <w:r>
        <w:rPr/>
        <w:t>Option 1 – Construct a fourth Midway-Vincent 500 kV line</w:t>
      </w:r>
    </w:p>
    <w:p>
      <w:pPr>
        <w:pStyle w:val="Normal"/>
        <w:rPr/>
      </w:pPr>
      <w:r>
        <w:rPr/>
        <w:t>Construct a Midway-Vincent #4 500 kV line.</w:t>
      </w:r>
    </w:p>
    <w:p>
      <w:pPr>
        <w:pStyle w:val="Normal"/>
        <w:rPr/>
      </w:pPr>
      <w:r>
        <w:rPr/>
      </w:r>
    </w:p>
    <w:p>
      <w:pPr>
        <w:pStyle w:val="Heading3"/>
        <w:ind w:hanging="0" w:start="0"/>
        <w:rPr/>
      </w:pPr>
      <w:r>
        <w:rPr/>
        <w:t>Option 2 –  Install additional transmission facilities</w:t>
      </w:r>
    </w:p>
    <w:p>
      <w:pPr>
        <w:pStyle w:val="Normal"/>
        <w:rPr/>
      </w:pPr>
      <w:r>
        <w:rPr/>
        <w:t>Install additional Vincent 500/230 kV transformer, re-conductor Midway-Vincent 500 kV lines, and replace series capacitors as necessary.</w:t>
      </w:r>
    </w:p>
    <w:p>
      <w:pPr>
        <w:pStyle w:val="Normal"/>
        <w:rPr>
          <w:sz w:val="32"/>
        </w:rPr>
      </w:pPr>
      <w:r>
        <w:rPr>
          <w:sz w:val="32"/>
        </w:rPr>
      </w:r>
    </w:p>
    <w:p>
      <w:pPr>
        <w:pStyle w:val="Heading4"/>
        <w:ind w:hanging="0" w:start="0"/>
        <w:rPr>
          <w:sz w:val="28"/>
        </w:rPr>
      </w:pPr>
      <w:r>
        <w:rPr>
          <w:sz w:val="28"/>
        </w:rPr>
        <w:t>Study Assumptions</w:t>
      </w:r>
    </w:p>
    <w:p>
      <w:pPr>
        <w:pStyle w:val="Normal"/>
        <w:rPr>
          <w:sz w:val="28"/>
        </w:rPr>
      </w:pPr>
      <w:r>
        <w:rPr>
          <w:sz w:val="28"/>
        </w:rPr>
      </w:r>
    </w:p>
    <w:p>
      <w:pPr>
        <w:pStyle w:val="Heading3"/>
        <w:ind w:hanging="0" w:start="0"/>
        <w:rPr/>
      </w:pPr>
      <w:r>
        <w:rPr/>
        <w:t>Short-Term Plan</w:t>
      </w:r>
    </w:p>
    <w:p>
      <w:pPr>
        <w:pStyle w:val="Normal"/>
        <w:numPr>
          <w:ilvl w:val="0"/>
          <w:numId w:val="5"/>
        </w:numPr>
        <w:rPr/>
      </w:pPr>
      <w:r>
        <w:rPr/>
        <w:t>PTO’s transmission reinforcements by Summer 2002 will be modeled in the Summer 2002 base case</w:t>
      </w:r>
    </w:p>
    <w:p>
      <w:pPr>
        <w:pStyle w:val="Normal"/>
        <w:numPr>
          <w:ilvl w:val="0"/>
          <w:numId w:val="5"/>
        </w:numPr>
        <w:rPr/>
      </w:pPr>
      <w:r>
        <w:rPr/>
        <w:t>New generation projects will also be modeled.</w:t>
      </w:r>
    </w:p>
    <w:p>
      <w:pPr>
        <w:pStyle w:val="Header"/>
        <w:tabs>
          <w:tab w:val="clear" w:pos="4320"/>
          <w:tab w:val="clear" w:pos="8640"/>
        </w:tabs>
        <w:rPr/>
      </w:pPr>
      <w:r>
        <w:rPr/>
      </w:r>
    </w:p>
    <w:p>
      <w:pPr>
        <w:pStyle w:val="Heading3"/>
        <w:ind w:hanging="0" w:start="0"/>
        <w:rPr/>
      </w:pPr>
      <w:r>
        <w:rPr/>
        <w:t>Long-Term Plan</w:t>
      </w:r>
    </w:p>
    <w:p>
      <w:pPr>
        <w:pStyle w:val="Header"/>
        <w:numPr>
          <w:ilvl w:val="0"/>
          <w:numId w:val="4"/>
        </w:numPr>
        <w:tabs>
          <w:tab w:val="clear" w:pos="4320"/>
          <w:tab w:val="clear" w:pos="8640"/>
        </w:tabs>
        <w:rPr/>
      </w:pPr>
      <w:r>
        <w:rPr/>
        <w:t>Third 500 kV line will be modeled for Path 15</w:t>
      </w:r>
    </w:p>
    <w:p>
      <w:pPr>
        <w:pStyle w:val="Header"/>
        <w:numPr>
          <w:ilvl w:val="0"/>
          <w:numId w:val="4"/>
        </w:numPr>
        <w:tabs>
          <w:tab w:val="clear" w:pos="4320"/>
          <w:tab w:val="clear" w:pos="8640"/>
        </w:tabs>
        <w:rPr/>
      </w:pPr>
      <w:r>
        <w:rPr/>
        <w:t>Other new generating units and transmission projects will also be modeled.</w:t>
      </w:r>
    </w:p>
    <w:p>
      <w:pPr>
        <w:pStyle w:val="Header"/>
        <w:tabs>
          <w:tab w:val="clear" w:pos="4320"/>
          <w:tab w:val="clear" w:pos="8640"/>
        </w:tabs>
        <w:rPr/>
      </w:pPr>
      <w:r>
        <w:rPr/>
      </w:r>
    </w:p>
    <w:p>
      <w:pPr>
        <w:pStyle w:val="Header"/>
        <w:tabs>
          <w:tab w:val="clear" w:pos="4320"/>
          <w:tab w:val="clear" w:pos="8640"/>
        </w:tabs>
        <w:rPr/>
      </w:pPr>
      <w:r>
        <w:rPr/>
      </w:r>
    </w:p>
    <w:p>
      <w:pPr>
        <w:pStyle w:val="Heading4"/>
        <w:ind w:hanging="0" w:start="0"/>
        <w:rPr>
          <w:sz w:val="28"/>
        </w:rPr>
      </w:pPr>
      <w:r>
        <w:rPr>
          <w:sz w:val="28"/>
        </w:rPr>
        <w:t>Study Scenarios and Base Cases</w:t>
      </w:r>
    </w:p>
    <w:p>
      <w:pPr>
        <w:pStyle w:val="Normal"/>
        <w:rPr>
          <w:sz w:val="28"/>
        </w:rPr>
      </w:pPr>
      <w:r>
        <w:rPr>
          <w:sz w:val="28"/>
        </w:rPr>
      </w:r>
    </w:p>
    <w:p>
      <w:pPr>
        <w:pStyle w:val="Heading3"/>
        <w:ind w:hanging="0" w:start="0"/>
        <w:rPr/>
      </w:pPr>
      <w:r>
        <w:rPr/>
        <w:t>Short-Term Evaluation</w:t>
      </w:r>
    </w:p>
    <w:p>
      <w:pPr>
        <w:pStyle w:val="Header"/>
        <w:tabs>
          <w:tab w:val="clear" w:pos="4320"/>
          <w:tab w:val="clear" w:pos="8640"/>
        </w:tabs>
        <w:rPr/>
      </w:pPr>
      <w:r>
        <w:rPr/>
      </w:r>
    </w:p>
    <w:p>
      <w:pPr>
        <w:pStyle w:val="Normal"/>
        <w:rPr/>
      </w:pPr>
      <w:r>
        <w:rPr/>
        <w:t>Three study scenarios will be developed and evaluated.  The starting base cases will be the 2002 heavy summer south peak base case and the 2002 spring peak base case which were developed for the 2000 ISO Control Area Transmission Expansion Plan study.  Both cases have 3000 MW of southbound flow on Path 26.  The 2002 heavy summer south peak case was developed from the 2003 HS 3 WSCC base case, and the 2002 spring peak base case was developed from the 2001 HSP 1 WSCC base case.  All changes to the base cases were either provided or reviewed by the three PTO’s and the municipal utilities through an open stakeholder process.</w:t>
      </w:r>
    </w:p>
    <w:p>
      <w:pPr>
        <w:pStyle w:val="Normal"/>
        <w:rPr/>
      </w:pPr>
      <w:r>
        <w:rPr/>
      </w:r>
    </w:p>
    <w:p>
      <w:pPr>
        <w:pStyle w:val="Heading3"/>
        <w:ind w:hanging="0" w:start="0"/>
        <w:rPr/>
      </w:pPr>
      <w:r>
        <w:rPr/>
        <w:t>Scenario 1 – 2002 Heavy Summer with High Midway Area Generation</w:t>
      </w:r>
    </w:p>
    <w:p>
      <w:pPr>
        <w:pStyle w:val="Normal"/>
        <w:rPr/>
      </w:pPr>
      <w:r>
        <w:rPr/>
        <w:t>New generation projects under development at Midway will be dispatched as necessary to increase the Path 26 flow to 4000 MW.</w:t>
      </w:r>
    </w:p>
    <w:p>
      <w:pPr>
        <w:pStyle w:val="Normal"/>
        <w:rPr/>
      </w:pPr>
      <w:r>
        <w:rPr/>
      </w:r>
    </w:p>
    <w:p>
      <w:pPr>
        <w:pStyle w:val="Heading3"/>
        <w:ind w:hanging="0" w:start="0"/>
        <w:rPr/>
      </w:pPr>
      <w:r>
        <w:rPr/>
        <w:t>Scenario 2 – 2002 Heavy Summer with High Bay Area Generation</w:t>
      </w:r>
    </w:p>
    <w:p>
      <w:pPr>
        <w:pStyle w:val="Normal"/>
        <w:rPr/>
      </w:pPr>
      <w:r>
        <w:rPr/>
        <w:t>New generation projects under development in the Bay Area will be dispatched as necessary to increase the Path 26 flow to 4000 MW.</w:t>
      </w:r>
    </w:p>
    <w:p>
      <w:pPr>
        <w:pStyle w:val="Normal"/>
        <w:rPr/>
      </w:pPr>
      <w:r>
        <w:rPr/>
      </w:r>
    </w:p>
    <w:p>
      <w:pPr>
        <w:pStyle w:val="Heading3"/>
        <w:ind w:hanging="0" w:start="0"/>
        <w:rPr/>
      </w:pPr>
      <w:r>
        <w:rPr/>
        <w:t>Scenario 3 – 2002 Spring Peak</w:t>
      </w:r>
    </w:p>
    <w:p>
      <w:pPr>
        <w:pStyle w:val="Normal"/>
        <w:rPr/>
      </w:pPr>
      <w:r>
        <w:rPr/>
        <w:t>Generation in PG&amp;E will be increased as necessary to increase the Path 26 flow to 4000 MW.</w:t>
      </w:r>
    </w:p>
    <w:p>
      <w:pPr>
        <w:pStyle w:val="Normal"/>
        <w:rPr/>
      </w:pPr>
      <w:r>
        <w:rPr/>
      </w:r>
    </w:p>
    <w:p>
      <w:pPr>
        <w:pStyle w:val="Normal"/>
        <w:rPr/>
      </w:pPr>
      <w:r>
        <w:rPr/>
        <w:t>Once a preferred short-term alternative is selected, a 2005 HS base case (with high generation levels in the Midway area) will be used to verify whether the proposed solution is still adequate.  Additional mitigation measures would need to be identified if the proposed solution is not adequate.</w:t>
      </w:r>
    </w:p>
    <w:p>
      <w:pPr>
        <w:pStyle w:val="Normal"/>
        <w:rPr/>
      </w:pPr>
      <w:r>
        <w:rPr/>
        <w:t xml:space="preserve"> </w:t>
      </w:r>
    </w:p>
    <w:p>
      <w:pPr>
        <w:pStyle w:val="Heading3"/>
        <w:ind w:hanging="0" w:start="0"/>
        <w:rPr/>
      </w:pPr>
      <w:r>
        <w:rPr/>
        <w:t>Long-Term Evaluation</w:t>
      </w:r>
    </w:p>
    <w:p>
      <w:pPr>
        <w:pStyle w:val="Normal"/>
        <w:rPr/>
      </w:pPr>
      <w:r>
        <w:rPr/>
      </w:r>
    </w:p>
    <w:p>
      <w:pPr>
        <w:pStyle w:val="Normal"/>
        <w:rPr/>
      </w:pPr>
      <w:r>
        <w:rPr/>
        <w:t>For long-term evaluation, the WSCC 2008 HS1A-1 will be utilized.  In analyzing the 2008 HS base case, short-term mitigation would be modeled and used.  If the short-term mitigation measures are in the forms of RAS, the appropriate generation and load curtailment would be utilized in the analysis.</w:t>
      </w:r>
    </w:p>
    <w:p>
      <w:pPr>
        <w:pStyle w:val="Normal"/>
        <w:rPr/>
      </w:pPr>
      <w:r>
        <w:rPr/>
      </w:r>
    </w:p>
    <w:p>
      <w:pPr>
        <w:pStyle w:val="Normal"/>
        <w:rPr/>
      </w:pPr>
      <w:r>
        <w:rPr/>
      </w:r>
    </w:p>
    <w:p>
      <w:pPr>
        <w:pStyle w:val="Heading2"/>
        <w:ind w:hanging="0" w:start="0"/>
        <w:rPr>
          <w:b/>
          <w:sz w:val="28"/>
        </w:rPr>
      </w:pPr>
      <w:r>
        <w:rPr>
          <w:b/>
          <w:sz w:val="28"/>
        </w:rPr>
        <w:t>Contingency Analysis</w:t>
      </w:r>
    </w:p>
    <w:p>
      <w:pPr>
        <w:pStyle w:val="Normal"/>
        <w:rPr>
          <w:b/>
          <w:sz w:val="28"/>
        </w:rPr>
      </w:pPr>
      <w:r>
        <w:rPr>
          <w:b/>
          <w:sz w:val="28"/>
        </w:rPr>
      </w:r>
    </w:p>
    <w:p>
      <w:pPr>
        <w:pStyle w:val="Normal"/>
        <w:rPr/>
      </w:pPr>
      <w:r>
        <w:rPr/>
        <w:t>The following contingencies will be simulated.</w:t>
      </w:r>
    </w:p>
    <w:p>
      <w:pPr>
        <w:pStyle w:val="Normal"/>
        <w:rPr/>
      </w:pPr>
      <w:r>
        <w:rPr/>
      </w:r>
    </w:p>
    <w:p>
      <w:pPr>
        <w:pStyle w:val="Normal"/>
        <w:numPr>
          <w:ilvl w:val="0"/>
          <w:numId w:val="2"/>
        </w:numPr>
        <w:rPr/>
      </w:pPr>
      <w:r>
        <w:rPr/>
        <w:t>500 kV N-1 and common corridor N-2 outages between Table Mt. and the East of River Path;</w:t>
      </w:r>
    </w:p>
    <w:p>
      <w:pPr>
        <w:pStyle w:val="Normal"/>
        <w:numPr>
          <w:ilvl w:val="0"/>
          <w:numId w:val="2"/>
        </w:numPr>
        <w:rPr/>
      </w:pPr>
      <w:r>
        <w:rPr/>
        <w:t>PDCI and IPP bipolar outages;</w:t>
      </w:r>
    </w:p>
    <w:p>
      <w:pPr>
        <w:pStyle w:val="Normal"/>
        <w:numPr>
          <w:ilvl w:val="0"/>
          <w:numId w:val="2"/>
        </w:numPr>
        <w:rPr/>
      </w:pPr>
      <w:r>
        <w:rPr/>
        <w:t>Palo Verde, SONGS, and Diablo G-2 outages;</w:t>
      </w:r>
    </w:p>
    <w:p>
      <w:pPr>
        <w:pStyle w:val="Normal"/>
        <w:numPr>
          <w:ilvl w:val="0"/>
          <w:numId w:val="2"/>
        </w:numPr>
        <w:rPr/>
      </w:pPr>
      <w:r>
        <w:rPr/>
        <w:t>Selected 230 kV N-1 and common tower N-2 outages between Tesla and Midway.</w:t>
      </w:r>
    </w:p>
    <w:p>
      <w:pPr>
        <w:pStyle w:val="Normal"/>
        <w:rPr/>
      </w:pPr>
      <w:r>
        <w:rPr/>
      </w:r>
    </w:p>
    <w:p>
      <w:pPr>
        <w:pStyle w:val="Normal"/>
        <w:rPr/>
      </w:pPr>
      <w:r>
        <w:rPr/>
      </w:r>
    </w:p>
    <w:p>
      <w:pPr>
        <w:pStyle w:val="Heading2"/>
        <w:ind w:hanging="0" w:start="0"/>
        <w:rPr>
          <w:b/>
          <w:sz w:val="28"/>
        </w:rPr>
      </w:pPr>
      <w:r>
        <w:rPr>
          <w:b/>
          <w:sz w:val="28"/>
        </w:rPr>
        <w:t>Sensitivity Studies</w:t>
      </w:r>
    </w:p>
    <w:p>
      <w:pPr>
        <w:pStyle w:val="Normal"/>
        <w:rPr>
          <w:b/>
          <w:sz w:val="28"/>
        </w:rPr>
      </w:pPr>
      <w:r>
        <w:rPr>
          <w:b/>
          <w:sz w:val="28"/>
        </w:rPr>
      </w:r>
    </w:p>
    <w:p>
      <w:pPr>
        <w:pStyle w:val="Normal"/>
        <w:rPr/>
      </w:pPr>
      <w:r>
        <w:rPr/>
        <w:t>The following sensitivity studies will be performed.</w:t>
      </w:r>
    </w:p>
    <w:p>
      <w:pPr>
        <w:pStyle w:val="Normal"/>
        <w:rPr/>
      </w:pPr>
      <w:r>
        <w:rPr/>
      </w:r>
    </w:p>
    <w:p>
      <w:pPr>
        <w:pStyle w:val="Normal"/>
        <w:numPr>
          <w:ilvl w:val="0"/>
          <w:numId w:val="3"/>
        </w:numPr>
        <w:rPr/>
      </w:pPr>
      <w:r>
        <w:rPr/>
        <w:t>Determine potential transmission impacts on COI rating and SCIT OTC with PDCI at 3100 MW on the base cases with 3000 MW of Path 26 flow and then with 4000 MW of Path 26 flow.</w:t>
      </w:r>
    </w:p>
    <w:p>
      <w:pPr>
        <w:pStyle w:val="Normal"/>
        <w:rPr/>
      </w:pPr>
      <w:r>
        <w:rPr/>
      </w:r>
    </w:p>
    <w:p>
      <w:pPr>
        <w:pStyle w:val="Normal"/>
        <w:numPr>
          <w:ilvl w:val="0"/>
          <w:numId w:val="11"/>
        </w:numPr>
        <w:rPr/>
      </w:pPr>
      <w:r>
        <w:rPr/>
        <w:t>Develop options at intermediate flow levels (i.e. between 3000 and 4000 MW), if a 4000 MW rating cannot be achieved.</w:t>
      </w:r>
    </w:p>
    <w:p>
      <w:pPr>
        <w:pStyle w:val="Normal"/>
        <w:rPr/>
      </w:pPr>
      <w:r>
        <w:rPr/>
      </w:r>
    </w:p>
    <w:p>
      <w:pPr>
        <w:pStyle w:val="Heading3"/>
        <w:ind w:hanging="0" w:start="0"/>
        <w:rPr>
          <w:sz w:val="28"/>
        </w:rPr>
      </w:pPr>
      <w:r>
        <w:rPr>
          <w:sz w:val="28"/>
        </w:rPr>
        <w:t>Study Results</w:t>
      </w:r>
    </w:p>
    <w:p>
      <w:pPr>
        <w:pStyle w:val="Normal"/>
        <w:rPr>
          <w:sz w:val="28"/>
        </w:rPr>
      </w:pPr>
      <w:r>
        <w:rPr>
          <w:sz w:val="28"/>
        </w:rPr>
      </w:r>
    </w:p>
    <w:p>
      <w:pPr>
        <w:pStyle w:val="Normal"/>
        <w:numPr>
          <w:ilvl w:val="0"/>
          <w:numId w:val="10"/>
        </w:numPr>
        <w:rPr>
          <w:b/>
          <w:i/>
          <w:i/>
        </w:rPr>
      </w:pPr>
      <w:r>
        <w:rPr>
          <w:b/>
          <w:i/>
        </w:rPr>
        <w:t>Contingency Screening</w:t>
      </w:r>
    </w:p>
    <w:p>
      <w:pPr>
        <w:pStyle w:val="Normal"/>
        <w:ind w:start="360" w:end="0"/>
        <w:rPr/>
      </w:pPr>
      <w:r>
        <w:rPr/>
        <w:t>The worst contingencies in California including the following:</w:t>
      </w:r>
    </w:p>
    <w:p>
      <w:pPr>
        <w:pStyle w:val="Normal"/>
        <w:numPr>
          <w:ilvl w:val="0"/>
          <w:numId w:val="12"/>
        </w:numPr>
        <w:tabs>
          <w:tab w:val="left" w:pos="720" w:leader="none"/>
        </w:tabs>
        <w:ind w:hanging="360" w:start="720" w:end="0"/>
        <w:rPr/>
      </w:pPr>
      <w:r>
        <w:rPr/>
        <w:t>2 PV unit outage</w:t>
      </w:r>
    </w:p>
    <w:p>
      <w:pPr>
        <w:pStyle w:val="Normal"/>
        <w:numPr>
          <w:ilvl w:val="0"/>
          <w:numId w:val="12"/>
        </w:numPr>
        <w:tabs>
          <w:tab w:val="left" w:pos="720" w:leader="none"/>
        </w:tabs>
        <w:ind w:hanging="360" w:start="720" w:end="0"/>
        <w:rPr/>
      </w:pPr>
      <w:r>
        <w:rPr/>
        <w:t>Bipolar outage of the PDCI</w:t>
      </w:r>
    </w:p>
    <w:p>
      <w:pPr>
        <w:pStyle w:val="Normal"/>
        <w:numPr>
          <w:ilvl w:val="0"/>
          <w:numId w:val="12"/>
        </w:numPr>
        <w:tabs>
          <w:tab w:val="left" w:pos="720" w:leader="none"/>
        </w:tabs>
        <w:ind w:hanging="360" w:start="720" w:end="0"/>
        <w:rPr/>
      </w:pPr>
      <w:r>
        <w:rPr/>
        <w:t>Table Mountain South double line outage</w:t>
      </w:r>
    </w:p>
    <w:p>
      <w:pPr>
        <w:pStyle w:val="Normal"/>
        <w:numPr>
          <w:ilvl w:val="0"/>
          <w:numId w:val="12"/>
        </w:numPr>
        <w:tabs>
          <w:tab w:val="left" w:pos="720" w:leader="none"/>
        </w:tabs>
        <w:ind w:hanging="360" w:start="720" w:end="0"/>
        <w:rPr/>
      </w:pPr>
      <w:r>
        <w:rPr/>
        <w:t>2 SONGS unit outage</w:t>
      </w:r>
    </w:p>
    <w:p>
      <w:pPr>
        <w:pStyle w:val="Normal"/>
        <w:numPr>
          <w:ilvl w:val="0"/>
          <w:numId w:val="12"/>
        </w:numPr>
        <w:tabs>
          <w:tab w:val="left" w:pos="720" w:leader="none"/>
        </w:tabs>
        <w:ind w:hanging="360" w:start="720" w:end="0"/>
        <w:rPr/>
      </w:pPr>
      <w:r>
        <w:rPr/>
        <w:t>SWPL line outage with RAS</w:t>
      </w:r>
    </w:p>
    <w:p>
      <w:pPr>
        <w:pStyle w:val="Normal"/>
        <w:numPr>
          <w:ilvl w:val="0"/>
          <w:numId w:val="12"/>
        </w:numPr>
        <w:tabs>
          <w:tab w:val="left" w:pos="720" w:leader="none"/>
        </w:tabs>
        <w:ind w:hanging="360" w:start="720" w:end="0"/>
        <w:rPr/>
      </w:pPr>
      <w:r>
        <w:rPr/>
        <w:t>2 Diablo Canyon unit outage</w:t>
      </w:r>
    </w:p>
    <w:p>
      <w:pPr>
        <w:pStyle w:val="Normal"/>
        <w:numPr>
          <w:ilvl w:val="0"/>
          <w:numId w:val="12"/>
        </w:numPr>
        <w:tabs>
          <w:tab w:val="left" w:pos="720" w:leader="none"/>
        </w:tabs>
        <w:ind w:hanging="360" w:start="720" w:end="0"/>
        <w:rPr/>
      </w:pPr>
      <w:r>
        <w:rPr/>
        <w:t>2 Moss Landing unit outage</w:t>
      </w:r>
    </w:p>
    <w:p>
      <w:pPr>
        <w:pStyle w:val="Normal"/>
        <w:numPr>
          <w:ilvl w:val="0"/>
          <w:numId w:val="12"/>
        </w:numPr>
        <w:tabs>
          <w:tab w:val="left" w:pos="720" w:leader="none"/>
        </w:tabs>
        <w:ind w:hanging="360" w:start="720" w:end="0"/>
        <w:rPr/>
      </w:pPr>
      <w:r>
        <w:rPr/>
        <w:t>2 Pittsburg unit outage</w:t>
      </w:r>
    </w:p>
    <w:p>
      <w:pPr>
        <w:pStyle w:val="Normal"/>
        <w:rPr/>
      </w:pPr>
      <w:r>
        <w:rPr/>
      </w:r>
    </w:p>
    <w:p>
      <w:pPr>
        <w:pStyle w:val="Normal"/>
        <w:numPr>
          <w:ilvl w:val="0"/>
          <w:numId w:val="8"/>
        </w:numPr>
        <w:rPr>
          <w:b/>
          <w:i/>
          <w:i/>
        </w:rPr>
      </w:pPr>
      <w:r>
        <w:rPr>
          <w:b/>
          <w:i/>
        </w:rPr>
        <w:t>AC/DC/Northern California Hydro Nomogram</w:t>
      </w:r>
    </w:p>
    <w:p>
      <w:pPr>
        <w:pStyle w:val="Normal"/>
        <w:ind w:start="360" w:end="0"/>
        <w:rPr>
          <w:b/>
          <w:i/>
          <w:i/>
        </w:rPr>
      </w:pPr>
      <w:r>
        <w:rPr>
          <w:b/>
          <w:i/>
        </w:rPr>
      </w:r>
    </w:p>
    <w:p>
      <w:pPr>
        <w:pStyle w:val="BodyTextIndent"/>
        <w:rPr/>
      </w:pPr>
      <w:r>
        <w:rPr/>
        <w:t>For Northern California, the worst contingency is the loss of 2 PV units (G-2), the loss of PDCI Bipolar, the loss of 2 Moss Landing units, and the Table Mountain South double line outage (N-2).  The limiting factor is the reactive margin at Round Mountain and various Northwest 500 kV buses (Grizzly 500 kV) for loss of 2 PV units.</w:t>
      </w:r>
    </w:p>
    <w:p>
      <w:pPr>
        <w:pStyle w:val="Normal"/>
        <w:ind w:start="360" w:end="0"/>
        <w:rPr>
          <w:b/>
          <w:i/>
          <w:i/>
        </w:rPr>
      </w:pPr>
      <w:r>
        <w:rPr>
          <w:b/>
          <w:i/>
        </w:rPr>
      </w:r>
    </w:p>
    <w:p>
      <w:pPr>
        <w:pStyle w:val="Normal"/>
        <w:numPr>
          <w:ilvl w:val="0"/>
          <w:numId w:val="8"/>
        </w:numPr>
        <w:rPr>
          <w:b/>
          <w:i/>
          <w:i/>
        </w:rPr>
      </w:pPr>
      <w:r>
        <w:rPr>
          <w:b/>
          <w:i/>
        </w:rPr>
        <w:t>SCIT Nomogram</w:t>
      </w:r>
    </w:p>
    <w:p>
      <w:pPr>
        <w:pStyle w:val="Normal"/>
        <w:ind w:start="360" w:end="0"/>
        <w:rPr>
          <w:b/>
          <w:i/>
          <w:i/>
        </w:rPr>
      </w:pPr>
      <w:r>
        <w:rPr>
          <w:b/>
          <w:i/>
        </w:rPr>
      </w:r>
    </w:p>
    <w:p>
      <w:pPr>
        <w:pStyle w:val="BodyTextIndent"/>
        <w:rPr/>
      </w:pPr>
      <w:r>
        <w:rPr/>
        <w:t>For SCIT and Southern California, the worst contingencies are the loss of 2 SONGS units (G-2), loss of IV-Miguel (cross trip Miguel-Tijuana 230 kV), and the loss of the PV-N. Gila 500 kV line.  The limiting factor is the reactive margin at the South Bay 69 kV bus in SDG&amp;E.</w:t>
      </w:r>
    </w:p>
    <w:p>
      <w:pPr>
        <w:pStyle w:val="Normal"/>
        <w:rPr/>
      </w:pPr>
      <w:r>
        <w:rPr/>
      </w:r>
    </w:p>
    <w:p>
      <w:pPr>
        <w:pStyle w:val="Normal"/>
        <w:rPr>
          <w:b/>
          <w:i/>
          <w:i/>
        </w:rPr>
      </w:pPr>
      <w:r>
        <w:rPr>
          <w:b/>
          <w:i/>
        </w:rPr>
      </w:r>
    </w:p>
    <w:p>
      <w:pPr>
        <w:pStyle w:val="Heading2"/>
        <w:ind w:hanging="0" w:start="0"/>
        <w:rPr>
          <w:b/>
          <w:sz w:val="28"/>
        </w:rPr>
      </w:pPr>
      <w:r>
        <w:rPr>
          <w:b/>
          <w:sz w:val="28"/>
        </w:rPr>
        <w:t xml:space="preserve">Costs and Feasibility </w:t>
      </w:r>
    </w:p>
    <w:p>
      <w:pPr>
        <w:pStyle w:val="Normal"/>
        <w:rPr>
          <w:b/>
          <w:sz w:val="28"/>
        </w:rPr>
      </w:pPr>
      <w:r>
        <w:rPr>
          <w:b/>
          <w:sz w:val="28"/>
        </w:rPr>
      </w:r>
    </w:p>
    <w:p>
      <w:pPr>
        <w:pStyle w:val="Normal"/>
        <w:rPr/>
      </w:pPr>
      <w:r>
        <w:rPr/>
        <w:t xml:space="preserve">SCE and PG&amp;E have already completed some preliminary work to determine the feasibility and costs of several related items.  SCE has identified the need and developed costs for replacing series capacitors on the Midway-Vincent #3 line and for adding a fourth Vincent 500/230 kV transformer.  Pending the results from the power flow analysis, additional cost estimates may be required.  </w:t>
      </w:r>
    </w:p>
    <w:p>
      <w:pPr>
        <w:pStyle w:val="Normal"/>
        <w:rPr/>
      </w:pPr>
      <w:r>
        <w:rPr/>
      </w:r>
    </w:p>
    <w:p>
      <w:pPr>
        <w:pStyle w:val="Normal"/>
        <w:rPr/>
      </w:pPr>
      <w:r>
        <w:rPr/>
        <w:t>For the short-term plan, PG&amp;E will be working with their engineering group and the study group to establish short-term rating on the Midway-Vincent #3 line.  In addition, a thorough analysis of the Los Banos-Midway, Midway-Vincent, and Vincent-Lugo 500 kV line ratings on a component level will also be performed.</w:t>
      </w:r>
    </w:p>
    <w:p>
      <w:pPr>
        <w:pStyle w:val="Normal"/>
        <w:rPr/>
      </w:pPr>
      <w:r>
        <w:rPr/>
      </w:r>
    </w:p>
    <w:p>
      <w:pPr>
        <w:pStyle w:val="Normal"/>
        <w:rPr/>
      </w:pPr>
      <w:r>
        <w:rPr/>
      </w:r>
    </w:p>
    <w:p>
      <w:pPr>
        <w:pStyle w:val="Heading1"/>
        <w:ind w:hanging="0" w:start="0"/>
        <w:rPr>
          <w:b/>
        </w:rPr>
      </w:pPr>
      <w:r>
        <w:rPr>
          <w:b/>
        </w:rPr>
        <w:t>Congestion Cost Analysis</w:t>
      </w:r>
    </w:p>
    <w:p>
      <w:pPr>
        <w:pStyle w:val="Normal"/>
        <w:rPr>
          <w:b/>
        </w:rPr>
      </w:pPr>
      <w:r>
        <w:rPr>
          <w:b/>
        </w:rPr>
      </w:r>
    </w:p>
    <w:p>
      <w:pPr>
        <w:pStyle w:val="Normal"/>
        <w:rPr/>
      </w:pPr>
      <w:r>
        <w:rPr/>
        <w:t>A parallel effort is needed to complete the congestion cost analysis for Path 26.  Part of this effort includes an analysis of congestion on Path 26 with various new generation and transmission projects assumed.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b/>
          <w:sz w:val="28"/>
        </w:rPr>
      </w:pPr>
      <w:r>
        <w:rPr>
          <w:b/>
          <w:sz w:val="28"/>
        </w:rPr>
        <w:t>Study Schedule for Short-Term Plan Path 26 Rating Increase</w:t>
      </w:r>
    </w:p>
    <w:p>
      <w:pPr>
        <w:pStyle w:val="Normal"/>
        <w:rPr>
          <w:b/>
          <w:sz w:val="28"/>
        </w:rPr>
      </w:pPr>
      <w:r>
        <w:rPr>
          <w:b/>
          <w:sz w:val="28"/>
        </w:rPr>
      </w:r>
    </w:p>
    <w:tbl>
      <w:tblPr>
        <w:tblW w:w="7488" w:type="dxa"/>
        <w:jc w:val="start"/>
        <w:tblInd w:w="0" w:type="dxa"/>
        <w:tblLayout w:type="fixed"/>
        <w:tblCellMar>
          <w:top w:w="0" w:type="dxa"/>
          <w:start w:w="108" w:type="dxa"/>
          <w:bottom w:w="0" w:type="dxa"/>
          <w:end w:w="108" w:type="dxa"/>
        </w:tblCellMar>
      </w:tblPr>
      <w:tblGrid>
        <w:gridCol w:w="5958"/>
        <w:gridCol w:w="1530"/>
      </w:tblGrid>
      <w:tr>
        <w:trPr/>
        <w:tc>
          <w:tcPr>
            <w:tcW w:w="5958" w:type="dxa"/>
            <w:tcBorders>
              <w:top w:val="single" w:sz="4" w:space="0" w:color="000000"/>
              <w:start w:val="single" w:sz="4" w:space="0" w:color="000000"/>
              <w:bottom w:val="single" w:sz="4" w:space="0" w:color="000000"/>
              <w:end w:val="single" w:sz="4" w:space="0" w:color="000000"/>
            </w:tcBorders>
          </w:tcPr>
          <w:p>
            <w:pPr>
              <w:pStyle w:val="Normal"/>
              <w:rPr>
                <w:b/>
              </w:rPr>
            </w:pPr>
            <w:r>
              <w:rPr>
                <w:b/>
              </w:rPr>
              <w:t>Item</w:t>
            </w:r>
          </w:p>
        </w:tc>
        <w:tc>
          <w:tcPr>
            <w:tcW w:w="1530" w:type="dxa"/>
            <w:tcBorders>
              <w:top w:val="single" w:sz="4" w:space="0" w:color="000000"/>
              <w:start w:val="single" w:sz="4" w:space="0" w:color="000000"/>
              <w:bottom w:val="single" w:sz="4" w:space="0" w:color="000000"/>
              <w:end w:val="single" w:sz="4" w:space="0" w:color="000000"/>
            </w:tcBorders>
          </w:tcPr>
          <w:p>
            <w:pPr>
              <w:pStyle w:val="Normal"/>
              <w:rPr>
                <w:b/>
              </w:rPr>
            </w:pPr>
            <w:r>
              <w:rPr>
                <w:b/>
              </w:rPr>
              <w:t>Target Completion</w:t>
            </w:r>
          </w:p>
          <w:p>
            <w:pPr>
              <w:pStyle w:val="Normal"/>
              <w:rPr>
                <w:b/>
              </w:rPr>
            </w:pPr>
            <w:r>
              <w:rPr>
                <w:b/>
              </w:rPr>
              <w:t>Date</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rPr/>
            </w:pPr>
            <w:r>
              <w:rPr/>
              <w:t>Power System Studies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rPr/>
            </w:pPr>
            <w:r>
              <w:rPr/>
              <w:tab/>
              <w:t>Receive comments from Study Group members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March 16,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rPr/>
            </w:pPr>
            <w:r>
              <w:rPr/>
              <w:tab/>
              <w:t xml:space="preserve">Finalize Study Plan </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March 21,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Send out draft base cases for comments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March 23,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Receive comments on study base cases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March 30,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Issue final base cases for studies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April 6,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Perform power flow/post-transient/transient studies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April 9 – May 4,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rPr/>
            </w:pPr>
            <w:r>
              <w:rPr/>
              <w:tab/>
              <w:t>Costs and Feasibility</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May 7 - 18,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rPr/>
            </w:pPr>
            <w:r>
              <w:rPr/>
              <w:t>Issue the congestion cost analysis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May 15,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rPr/>
            </w:pPr>
            <w:r>
              <w:rPr/>
              <w:t xml:space="preserve">Perform economic analysis and draft the final report </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May 21-June 1,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rPr/>
            </w:pPr>
            <w:r>
              <w:rPr/>
              <w:t>Send the draft final report with recommendation to the Study Group members for comments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June 4 – 11,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rPr/>
            </w:pPr>
            <w:r>
              <w:rPr/>
              <w:t>Issue final report and recommendation</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June 18, 01</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rPr/>
            </w:pPr>
            <w:r>
              <w:rPr/>
              <w:t>Present to the Cal-ISO Board for approval (TBD) *</w:t>
            </w:r>
          </w:p>
          <w:p>
            <w:pPr>
              <w:pStyle w:val="Normal"/>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bl>
    <w:p>
      <w:pPr>
        <w:pStyle w:val="Header"/>
        <w:tabs>
          <w:tab w:val="clear" w:pos="4320"/>
          <w:tab w:val="clear" w:pos="8640"/>
        </w:tabs>
        <w:rPr/>
      </w:pPr>
      <w:r>
        <w:rPr>
          <w:b/>
        </w:rPr>
        <w:t>Note</w:t>
      </w:r>
      <w:r>
        <w:rPr/>
        <w:t>: * If the cost exceeds $20 million, the project will be presented to the Cal-ISO Board for approval.</w:t>
      </w:r>
    </w:p>
    <w:p>
      <w:pPr>
        <w:pStyle w:val="Header"/>
        <w:tabs>
          <w:tab w:val="clear" w:pos="4320"/>
          <w:tab w:val="clear" w:pos="8640"/>
        </w:tabs>
        <w:rPr/>
      </w:pPr>
      <w:r>
        <w:rPr/>
      </w:r>
    </w:p>
    <w:p>
      <w:pPr>
        <w:pStyle w:val="Header"/>
        <w:tabs>
          <w:tab w:val="clear" w:pos="4320"/>
          <w:tab w:val="clear" w:pos="8640"/>
        </w:tabs>
        <w:rPr/>
      </w:pPr>
      <w:r>
        <w:rPr/>
      </w:r>
    </w:p>
    <w:p>
      <w:pPr>
        <w:pStyle w:val="Heading6"/>
        <w:ind w:hanging="0" w:start="0"/>
        <w:rPr/>
      </w:pPr>
      <w:r>
        <w:rPr/>
        <w:t>Study Group Members</w:t>
      </w:r>
    </w:p>
    <w:p>
      <w:pPr>
        <w:pStyle w:val="Normal"/>
        <w:rPr/>
      </w:pPr>
      <w:r>
        <w:rPr/>
      </w:r>
    </w:p>
    <w:p>
      <w:pPr>
        <w:pStyle w:val="Normal"/>
        <w:numPr>
          <w:ilvl w:val="0"/>
          <w:numId w:val="9"/>
        </w:numPr>
        <w:rPr/>
      </w:pPr>
      <w:r>
        <w:rPr/>
        <w:t>California ISO – Jeffrey Miller, David Le, Chuck-Yan Wu, Mark Willis, Nam Nguyen</w:t>
      </w:r>
    </w:p>
    <w:p>
      <w:pPr>
        <w:pStyle w:val="Header"/>
        <w:tabs>
          <w:tab w:val="clear" w:pos="4320"/>
          <w:tab w:val="clear" w:pos="8640"/>
        </w:tabs>
        <w:rPr/>
      </w:pPr>
      <w:r>
        <w:rPr/>
      </w:r>
    </w:p>
    <w:p>
      <w:pPr>
        <w:pStyle w:val="Normal"/>
        <w:numPr>
          <w:ilvl w:val="0"/>
          <w:numId w:val="9"/>
        </w:numPr>
        <w:rPr/>
      </w:pPr>
      <w:r>
        <w:rPr/>
        <w:t>Pacific Gas &amp; Electric Company – Ben Morris, Ron Markham</w:t>
      </w:r>
    </w:p>
    <w:p>
      <w:pPr>
        <w:pStyle w:val="Normal"/>
        <w:rPr/>
      </w:pPr>
      <w:r>
        <w:rPr/>
      </w:r>
    </w:p>
    <w:p>
      <w:pPr>
        <w:pStyle w:val="Normal"/>
        <w:numPr>
          <w:ilvl w:val="0"/>
          <w:numId w:val="9"/>
        </w:numPr>
        <w:rPr/>
      </w:pPr>
      <w:r>
        <w:rPr/>
        <w:t>Southern California Edison – Dana Cabbell, Garry Chinn, David Szumlas</w:t>
      </w:r>
    </w:p>
    <w:p>
      <w:pPr>
        <w:pStyle w:val="Normal"/>
        <w:rPr/>
      </w:pPr>
      <w:r>
        <w:rPr/>
      </w:r>
    </w:p>
    <w:p>
      <w:pPr>
        <w:pStyle w:val="Normal"/>
        <w:numPr>
          <w:ilvl w:val="0"/>
          <w:numId w:val="9"/>
        </w:numPr>
        <w:rPr/>
      </w:pPr>
      <w:r>
        <w:rPr/>
        <w:t>PG&amp;E National Energy Group – James Filippi</w:t>
      </w:r>
    </w:p>
    <w:sectPr>
      <w:headerReference w:type="default" r:id="rId2"/>
      <w:footerReference w:type="default" r:id="rId3"/>
      <w:type w:val="nextPage"/>
      <w:pgSz w:w="12240" w:h="15840"/>
      <w:pgMar w:left="1800" w:right="1800" w:gutter="0" w:header="720" w:top="126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3/05/01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color w:val="FF0000"/>
      </w:rPr>
    </w:pPr>
    <w:r>
      <w:rPr>
        <w:b/>
        <w:i/>
        <w:color w:val="FF0000"/>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sz w:val="3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32"/>
    </w:rPr>
  </w:style>
  <w:style w:type="paragraph" w:styleId="Heading5">
    <w:name w:val="heading 5"/>
    <w:basedOn w:val="Normal"/>
    <w:next w:val="Normal"/>
    <w:qFormat/>
    <w:pPr>
      <w:keepNext w:val="true"/>
      <w:numPr>
        <w:ilvl w:val="4"/>
        <w:numId w:val="1"/>
      </w:numPr>
      <w:jc w:val="center"/>
      <w:outlineLvl w:val="4"/>
    </w:pPr>
    <w:rPr>
      <w:b/>
      <w:sz w:val="32"/>
    </w:rPr>
  </w:style>
  <w:style w:type="paragraph" w:styleId="Heading6">
    <w:name w:val="heading 6"/>
    <w:basedOn w:val="Normal"/>
    <w:next w:val="Normal"/>
    <w:qFormat/>
    <w:pPr>
      <w:keepNext w:val="true"/>
      <w:numPr>
        <w:ilvl w:val="5"/>
        <w:numId w:val="1"/>
      </w:numPr>
      <w:outlineLvl w:val="5"/>
    </w:pPr>
    <w:rPr>
      <w:b/>
      <w:sz w:val="28"/>
    </w:rPr>
  </w:style>
  <w:style w:type="paragraph" w:styleId="Heading7">
    <w:name w:val="heading 7"/>
    <w:basedOn w:val="Normal"/>
    <w:next w:val="Normal"/>
    <w:qFormat/>
    <w:pPr>
      <w:keepNext w:val="true"/>
      <w:numPr>
        <w:ilvl w:val="6"/>
        <w:numId w:val="1"/>
      </w:numPr>
      <w:outlineLvl w:val="6"/>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2001-03-09T21:47:00Z</dcterms:created>
  <dc:creator>Robert Sparks</dc:creator>
  <dc:description/>
  <dc:language>en-CA</dc:language>
  <cp:lastModifiedBy>David Le</cp:lastModifiedBy>
  <cp:lastPrinted>2000-10-16T07:19:00Z</cp:lastPrinted>
  <dcterms:modified xsi:type="dcterms:W3CDTF">2001-03-09T21:47:00Z</dcterms:modified>
  <cp:revision>2</cp:revision>
  <dc:subject/>
  <dc:title>Path 26 Transfer Capability Increase Meeting</dc:title>
</cp:coreProperties>
</file>