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1.xlsx" ContentType="application/vnd.openxmlformats-officedocument.spreadsheetml.sheet"/>
  <Override PartName="/word/embeddings/oleObject5.bin" ContentType="application/vnd.openxmlformats-officedocument.oleObject"/>
  <Override PartName="/word/embeddings/oleObject10.bin" ContentType="application/vnd.openxmlformats-officedocument.oleObject"/>
  <Override PartName="/word/embeddings/oleObject12.xlsx" ContentType="application/vnd.openxmlformats-officedocument.spreadsheetml.sheet"/>
  <Override PartName="/word/embeddings/oleObject9.bin" ContentType="application/vnd.openxmlformats-officedocument.oleObject"/>
  <Override PartName="/word/embeddings/oleObject18.bin" ContentType="application/vnd.openxmlformats-officedocument.oleObject"/>
  <Override PartName="/word/embeddings/oleObject14.xlsx" ContentType="application/vnd.openxmlformats-officedocument.spreadsheetml.sheet"/>
  <Override PartName="/word/embeddings/oleObject17.bin" ContentType="application/vnd.openxmlformats-officedocument.oleObject"/>
  <Override PartName="/word/embeddings/oleObject2.xlsx" ContentType="application/vnd.openxmlformats-officedocument.spreadsheetml.sheet"/>
  <Override PartName="/word/embeddings/oleObject4.bin" ContentType="application/vnd.openxmlformats-officedocument.oleObject"/>
  <Override PartName="/word/embeddings/oleObject16.bin" ContentType="application/vnd.openxmlformats-officedocument.oleObject"/>
  <Override PartName="/word/embeddings/oleObject3.xlsx" ContentType="application/vnd.openxmlformats-officedocument.spreadsheetml.sheet"/>
  <Override PartName="/word/embeddings/oleObject1.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13.xlsx" ContentType="application/vnd.openxmlformats-officedocument.spreadsheetml.sheet"/>
  <Override PartName="/word/embeddings/oleObject15.bin" ContentType="application/vnd.openxmlformats-officedocument.oleObject"/>
  <Override PartName="/word/embeddings/oleObject8.bin" ContentType="application/vnd.openxmlformats-officedocument.oleObject"/>
  <Override PartName="/word/media/image28.wmf" ContentType="image/x-wmf"/>
  <Override PartName="/word/media/image27.wmf" ContentType="image/x-wmf"/>
  <Override PartName="/word/media/image26.wmf" ContentType="image/x-wmf"/>
  <Override PartName="/word/media/image25.wmf" ContentType="image/x-wmf"/>
  <Override PartName="/word/media/image10.wmf" ContentType="image/x-wmf"/>
  <Override PartName="/word/media/image16.wmf" ContentType="image/x-wmf"/>
  <Override PartName="/word/media/image7.wmf" ContentType="image/x-wmf"/>
  <Override PartName="/word/media/image8.png" ContentType="image/png"/>
  <Override PartName="/word/media/image11.wmf" ContentType="image/x-wmf"/>
  <Override PartName="/word/media/image9.png" ContentType="image/png"/>
  <Override PartName="/word/media/image12.wmf" ContentType="image/x-wmf"/>
  <Override PartName="/word/media/image3.wmf" ContentType="image/x-wmf"/>
  <Override PartName="/word/media/image13.wmf" ContentType="image/x-wmf"/>
  <Override PartName="/word/media/image4.wmf" ContentType="image/x-wmf"/>
  <Override PartName="/word/media/image30.wmf" ContentType="image/x-wmf"/>
  <Override PartName="/word/media/image31.wmf" ContentType="image/x-wmf"/>
  <Override PartName="/word/media/image2.png" ContentType="image/png"/>
  <Override PartName="/word/media/image29.wmf" ContentType="image/x-wmf"/>
  <Override PartName="/word/media/image32.wmf" ContentType="image/x-wmf"/>
  <Override PartName="/word/media/image1.wmf" ContentType="image/x-wmf"/>
  <Override PartName="/word/media/image33.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17.wmf" ContentType="image/x-wmf"/>
  <Override PartName="/word/media/image18.wmf" ContentType="image/x-wmf"/>
  <Override PartName="/word/media/image20.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118" w:type="dxa"/>
        <w:jc w:val="start"/>
        <w:tblInd w:w="0" w:type="dxa"/>
        <w:tblLayout w:type="fixed"/>
        <w:tblCellMar>
          <w:top w:w="0" w:type="dxa"/>
          <w:start w:w="108" w:type="dxa"/>
          <w:bottom w:w="0" w:type="dxa"/>
          <w:end w:w="108" w:type="dxa"/>
        </w:tblCellMar>
      </w:tblPr>
      <w:tblGrid>
        <w:gridCol w:w="5598"/>
        <w:gridCol w:w="2520"/>
      </w:tblGrid>
      <w:tr>
        <w:trPr>
          <w:trHeight w:val="900" w:hRule="atLeast"/>
        </w:trPr>
        <w:tc>
          <w:tcPr>
            <w:tcW w:w="5598" w:type="dxa"/>
            <w:tcBorders/>
            <w:vAlign w:val="center"/>
          </w:tcPr>
          <w:p>
            <w:pPr>
              <w:pStyle w:val="Normal"/>
              <w:ind w:start="180" w:end="0"/>
              <w:rPr>
                <w:b/>
              </w:rPr>
            </w:pPr>
            <w:r>
              <w:rPr>
                <w:b/>
              </w:rPr>
              <w:t>GRI-99/0200</w:t>
            </w:r>
          </w:p>
          <w:p>
            <w:pPr>
              <w:pStyle w:val="Normal"/>
              <w:ind w:start="180" w:end="0"/>
              <w:rPr>
                <w:b/>
              </w:rPr>
            </w:pPr>
            <w:bookmarkStart w:id="0" w:name="_1011004478"/>
            <w:bookmarkEnd w:id="0"/>
            <w:r>
              <w:rPr/>
              <w:object w:dxaOrig="4740" w:dyaOrig="6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pt;height:30pt" filled="f" o:ole="">
                  <v:imagedata r:id="rId3" o:title=""/>
                </v:shape>
                <o:OLEObject Type="Embed" ProgID="" ShapeID="ole_rId2" DrawAspect="Content" ObjectID="_332104874" r:id="rId2"/>
              </w:object>
            </w:r>
          </w:p>
        </w:tc>
        <w:tc>
          <w:tcPr>
            <w:tcW w:w="2520" w:type="dxa"/>
            <w:tcBorders/>
            <w:vAlign w:val="center"/>
          </w:tcPr>
          <w:p>
            <w:pPr>
              <w:pStyle w:val="Normal"/>
              <w:ind w:start="180" w:end="0"/>
              <w:rPr/>
            </w:pPr>
            <w:r>
              <w:rPr/>
              <w:drawing>
                <wp:inline distT="0" distB="0" distL="0" distR="0">
                  <wp:extent cx="448945" cy="457200"/>
                  <wp:effectExtent l="0" t="0" r="0" b="0"/>
                  <wp:docPr id="1" name="gricl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iclr" descr="" title=""/>
                          <pic:cNvPicPr>
                            <a:picLocks noChangeAspect="1" noChangeArrowheads="1"/>
                          </pic:cNvPicPr>
                        </pic:nvPicPr>
                        <pic:blipFill>
                          <a:blip r:embed="rId4"/>
                          <a:srcRect l="-66" t="-65" r="-66" b="-65"/>
                          <a:stretch>
                            <a:fillRect/>
                          </a:stretch>
                        </pic:blipFill>
                        <pic:spPr bwMode="auto">
                          <a:xfrm>
                            <a:off x="0" y="0"/>
                            <a:ext cx="448945" cy="457200"/>
                          </a:xfrm>
                          <a:prstGeom prst="rect">
                            <a:avLst/>
                          </a:prstGeom>
                          <a:noFill/>
                        </pic:spPr>
                      </pic:pic>
                    </a:graphicData>
                  </a:graphic>
                </wp:inline>
              </w:drawing>
            </w:r>
          </w:p>
        </w:tc>
      </w:tr>
    </w:tbl>
    <w:p>
      <w:pPr>
        <w:pStyle w:val="Normal"/>
        <w:rPr/>
      </w:pPr>
      <w:r>
        <w:rPr/>
        <w:t>Topical Report</w:t>
      </w:r>
    </w:p>
    <w:p>
      <w:pPr>
        <w:pStyle w:val="Normal"/>
        <w:rPr/>
      </w:pPr>
      <w:r>
        <w:rPr/>
      </w:r>
    </w:p>
    <w:p>
      <w:pPr>
        <w:pStyle w:val="Normal"/>
        <w:rPr/>
      </w:pPr>
      <w:r>
        <w:rPr/>
      </w:r>
    </w:p>
    <w:p>
      <w:pPr>
        <w:pStyle w:val="Heading1"/>
        <w:ind w:hanging="0" w:start="0"/>
        <w:rPr/>
      </w:pPr>
      <w:r>
        <w:rPr/>
        <w:t>Natural Gas Storage Overview in a Changing Market Environment</w:t>
      </w:r>
    </w:p>
    <w:p>
      <w:pPr>
        <w:pStyle w:val="Normal"/>
        <w:rPr/>
      </w:pPr>
      <w:r>
        <w:rPr/>
      </w:r>
    </w:p>
    <w:p>
      <w:pPr>
        <w:pStyle w:val="Heading2"/>
        <w:ind w:hanging="0" w:start="0"/>
        <w:rPr/>
      </w:pPr>
      <w:r>
        <w:rPr/>
        <w:t>GRI Disclaimer</w:t>
      </w:r>
    </w:p>
    <w:p>
      <w:pPr>
        <w:pStyle w:val="Normal"/>
        <w:tabs>
          <w:tab w:val="clear" w:pos="720"/>
          <w:tab w:val="left" w:pos="462" w:leader="none"/>
          <w:tab w:val="left" w:pos="831" w:leader="none"/>
          <w:tab w:val="left" w:pos="1201" w:leader="none"/>
          <w:tab w:val="left" w:pos="1570" w:leader="none"/>
          <w:tab w:val="left" w:pos="1940" w:leader="none"/>
          <w:tab w:val="left" w:pos="2217" w:leader="none"/>
          <w:tab w:val="left" w:pos="4320" w:leader="none"/>
          <w:tab w:val="left" w:pos="5760" w:leader="none"/>
          <w:tab w:val="left" w:pos="7200" w:leader="none"/>
        </w:tabs>
        <w:rPr/>
      </w:pPr>
      <w:r>
        <w:rPr/>
      </w:r>
    </w:p>
    <w:p>
      <w:pPr>
        <w:pStyle w:val="Normal"/>
        <w:tabs>
          <w:tab w:val="clear" w:pos="720"/>
          <w:tab w:val="left" w:pos="462" w:leader="none"/>
          <w:tab w:val="left" w:pos="831" w:leader="none"/>
          <w:tab w:val="left" w:pos="1201" w:leader="none"/>
          <w:tab w:val="left" w:pos="1570" w:leader="none"/>
          <w:tab w:val="left" w:pos="1940" w:leader="none"/>
          <w:tab w:val="left" w:pos="2217" w:leader="none"/>
          <w:tab w:val="left" w:pos="4320" w:leader="none"/>
          <w:tab w:val="left" w:pos="5760" w:leader="none"/>
          <w:tab w:val="left" w:pos="7200" w:leader="none"/>
        </w:tabs>
        <w:rPr/>
      </w:pPr>
      <w:r>
        <w:rPr/>
      </w:r>
    </w:p>
    <w:p>
      <w:pPr>
        <w:pStyle w:val="Normal"/>
        <w:tabs>
          <w:tab w:val="clear" w:pos="720"/>
          <w:tab w:val="left" w:pos="462" w:leader="none"/>
          <w:tab w:val="left" w:pos="831" w:leader="none"/>
          <w:tab w:val="left" w:pos="1201" w:leader="none"/>
          <w:tab w:val="left" w:pos="1570" w:leader="none"/>
          <w:tab w:val="left" w:pos="1940" w:leader="none"/>
          <w:tab w:val="left" w:pos="2217" w:leader="none"/>
          <w:tab w:val="left" w:pos="4320" w:leader="none"/>
          <w:tab w:val="left" w:pos="5760" w:leader="none"/>
          <w:tab w:val="left" w:pos="7200" w:leader="none"/>
        </w:tabs>
        <w:rPr/>
      </w:pPr>
      <w:r>
        <w:rPr/>
        <w:t>LEGAL NOTICE  This report was prepared by Energy and Environmen</w:t>
        <w:softHyphen/>
        <w:t>tal Analysis, Inc. as an account of work sponsored by GRI.  Neither GRI, members of GRI, nor any person acting on behalf of either:</w:t>
      </w:r>
    </w:p>
    <w:p>
      <w:pPr>
        <w:pStyle w:val="Normal"/>
        <w:tabs>
          <w:tab w:val="clear" w:pos="720"/>
          <w:tab w:val="left" w:pos="462" w:leader="none"/>
          <w:tab w:val="left" w:pos="831" w:leader="none"/>
          <w:tab w:val="left" w:pos="1201" w:leader="none"/>
          <w:tab w:val="left" w:pos="1570" w:leader="none"/>
          <w:tab w:val="left" w:pos="1940" w:leader="none"/>
          <w:tab w:val="left" w:pos="2217" w:leader="none"/>
          <w:tab w:val="left" w:pos="4320" w:leader="none"/>
          <w:tab w:val="left" w:pos="5760" w:leader="none"/>
          <w:tab w:val="left" w:pos="7200" w:leader="none"/>
        </w:tabs>
        <w:rPr/>
      </w:pPr>
      <w:r>
        <w:rPr/>
      </w:r>
    </w:p>
    <w:p>
      <w:pPr>
        <w:pStyle w:val="ListContinue2"/>
        <w:rPr/>
      </w:pPr>
      <w:r>
        <w:rPr/>
        <w:t>a. Makes any warranty or representation, express or implied, with respect to the accuracy, completeness, or usefulness of the information contained in this report, or that the use of any apparatus, method or process disclosed in this report may not infringe privately owned rights; or</w:t>
      </w:r>
    </w:p>
    <w:p>
      <w:pPr>
        <w:pStyle w:val="ListContinue2"/>
        <w:rPr/>
      </w:pPr>
      <w:r>
        <w:rPr/>
      </w:r>
    </w:p>
    <w:p>
      <w:pPr>
        <w:pStyle w:val="ListContinue2"/>
        <w:rPr>
          <w:b/>
        </w:rPr>
      </w:pPr>
      <w:r>
        <w:rPr/>
        <w:t>b. Assumes any liability with respect to the use of, or for damages resulting from the use of, any information, appara</w:t>
        <w:softHyphen/>
        <w:t>tus, method, or process disclosed in this report.</w:t>
      </w:r>
    </w:p>
    <w:p>
      <w:pPr>
        <w:pStyle w:val="Normal"/>
        <w:tabs>
          <w:tab w:val="clear" w:pos="720"/>
          <w:tab w:val="left" w:pos="462" w:leader="none"/>
          <w:tab w:val="left" w:pos="831" w:leader="none"/>
          <w:tab w:val="left" w:pos="1201" w:leader="none"/>
          <w:tab w:val="left" w:pos="1570" w:leader="none"/>
          <w:tab w:val="left" w:pos="1940" w:leader="none"/>
          <w:tab w:val="left" w:pos="2193" w:leader="none"/>
          <w:tab w:val="left" w:pos="4320" w:leader="none"/>
          <w:tab w:val="left" w:pos="5760" w:leader="none"/>
          <w:tab w:val="left" w:pos="7200" w:leader="none"/>
        </w:tabs>
        <w:rPr>
          <w:b/>
        </w:rPr>
      </w:pPr>
      <w:r>
        <w:rPr>
          <w:b/>
        </w:rPr>
      </w:r>
    </w:p>
    <w:p>
      <w:pPr>
        <w:pStyle w:val="Heading2"/>
        <w:ind w:hanging="0" w:start="0"/>
        <w:rPr/>
      </w:pPr>
      <w:r>
        <w:rPr/>
        <w:t>Research Summary</w:t>
      </w:r>
    </w:p>
    <w:p>
      <w:pPr>
        <w:pStyle w:val="Normal"/>
        <w:tabs>
          <w:tab w:val="clear" w:pos="720"/>
          <w:tab w:val="left" w:pos="-1440" w:leader="none"/>
          <w:tab w:val="left" w:pos="-720" w:leader="none"/>
          <w:tab w:val="right" w:pos="2397" w:leader="none"/>
          <w:tab w:val="left" w:pos="2786" w:leader="none"/>
        </w:tabs>
        <w:ind w:hanging="2786" w:start="2786" w:end="0"/>
        <w:rPr/>
      </w:pPr>
      <w:r>
        <w:rPr/>
      </w:r>
    </w:p>
    <w:p>
      <w:pPr>
        <w:pStyle w:val="Normal"/>
        <w:tabs>
          <w:tab w:val="clear" w:pos="720"/>
          <w:tab w:val="left" w:pos="-1440" w:leader="none"/>
          <w:tab w:val="left" w:pos="-720" w:leader="none"/>
          <w:tab w:val="right" w:pos="2397" w:leader="none"/>
          <w:tab w:val="left" w:pos="2786" w:leader="none"/>
        </w:tabs>
        <w:ind w:hanging="2786" w:start="2786" w:end="0"/>
        <w:rPr/>
      </w:pPr>
      <w:r>
        <w:rPr/>
      </w:r>
    </w:p>
    <w:tbl>
      <w:tblPr>
        <w:tblW w:w="9378" w:type="dxa"/>
        <w:jc w:val="start"/>
        <w:tblInd w:w="0" w:type="dxa"/>
        <w:tblLayout w:type="fixed"/>
        <w:tblCellMar>
          <w:top w:w="0" w:type="dxa"/>
          <w:start w:w="108" w:type="dxa"/>
          <w:bottom w:w="0" w:type="dxa"/>
          <w:end w:w="108" w:type="dxa"/>
        </w:tblCellMar>
      </w:tblPr>
      <w:tblGrid>
        <w:gridCol w:w="2628"/>
        <w:gridCol w:w="6750"/>
      </w:tblGrid>
      <w:tr>
        <w:trPr/>
        <w:tc>
          <w:tcPr>
            <w:tcW w:w="2628" w:type="dxa"/>
            <w:tcBorders/>
          </w:tcPr>
          <w:p>
            <w:pPr>
              <w:pStyle w:val="Normal"/>
              <w:rPr>
                <w:b/>
              </w:rPr>
            </w:pPr>
            <w:r>
              <w:rPr>
                <w:b/>
              </w:rPr>
              <w:t>Title:</w:t>
            </w:r>
          </w:p>
        </w:tc>
        <w:tc>
          <w:tcPr>
            <w:tcW w:w="6750" w:type="dxa"/>
            <w:tcBorders/>
          </w:tcPr>
          <w:p>
            <w:pPr>
              <w:pStyle w:val="Normal"/>
              <w:rPr/>
            </w:pPr>
            <w:r>
              <w:rPr/>
              <w:t>Natural Gas Storage Overview in a Changing Market Environment</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Contractor:</w:t>
            </w:r>
          </w:p>
        </w:tc>
        <w:tc>
          <w:tcPr>
            <w:tcW w:w="6750" w:type="dxa"/>
            <w:tcBorders/>
          </w:tcPr>
          <w:p>
            <w:pPr>
              <w:pStyle w:val="Normal"/>
              <w:rPr/>
            </w:pPr>
            <w:r>
              <w:rPr/>
              <w:t>Energy and Environmental Analysis, Inc.</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Principal Investigators:</w:t>
            </w:r>
          </w:p>
        </w:tc>
        <w:tc>
          <w:tcPr>
            <w:tcW w:w="6750" w:type="dxa"/>
            <w:tcBorders/>
          </w:tcPr>
          <w:p>
            <w:pPr>
              <w:pStyle w:val="Normal"/>
              <w:rPr/>
            </w:pPr>
            <w:r>
              <w:rPr/>
              <w:t>Michael Sloan and Paul Friley</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Report Period:</w:t>
            </w:r>
          </w:p>
        </w:tc>
        <w:tc>
          <w:tcPr>
            <w:tcW w:w="6750" w:type="dxa"/>
            <w:tcBorders/>
          </w:tcPr>
          <w:p>
            <w:pPr>
              <w:pStyle w:val="Normal"/>
              <w:rPr/>
            </w:pPr>
            <w:r>
              <w:rPr/>
              <w:t>1996 - 1999</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Objective:</w:t>
            </w:r>
          </w:p>
        </w:tc>
        <w:tc>
          <w:tcPr>
            <w:tcW w:w="6750" w:type="dxa"/>
            <w:tcBorders/>
          </w:tcPr>
          <w:p>
            <w:pPr>
              <w:pStyle w:val="Normal"/>
              <w:rPr/>
            </w:pPr>
            <w:r>
              <w:rPr/>
              <w:t>To investigate recent changes in the use of storage capacity and storage contracting practices to predict future trends in storage markets.  To quantify the amount and type of current storage capacity and the cost and potential for storage capacity expansion.</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Technical Perspective:</w:t>
            </w:r>
          </w:p>
        </w:tc>
        <w:tc>
          <w:tcPr>
            <w:tcW w:w="6750" w:type="dxa"/>
            <w:tcBorders/>
          </w:tcPr>
          <w:p>
            <w:pPr>
              <w:pStyle w:val="Normal"/>
              <w:rPr/>
            </w:pPr>
            <w:r>
              <w:rPr/>
              <w:t>Recent developments in natural gas markets are changing the role and economics of natural gas storage.  Over the last decade pipeline companies have moved from providing bundled gas sales service to providing fully unbundled transmission and storage services to their customers.  The changes in pipeline rate structures and the increased number of services made available by storage providers have changed the economics of many storage facilities. Gas industry restructuring has led to changes in the types of customers holding storage capacity and in turn to the development of market hubs, thereby increasing the importance of strategically located storage fields.  In addition, anticipated growth in gas demand for electric generation may shift the overall load factor of natural gas demand, with an impact on storage requirements.  Improved understanding of storage market trends is required to ensure that the GRI Baseline Projection for natural gas markets continues to provide an accurate assessment of future gas market conditions and to understand the implications of these future market conditions on GRI R&amp;D programs.</w:t>
            </w:r>
          </w:p>
        </w:tc>
      </w:tr>
      <w:tr>
        <w:trPr/>
        <w:tc>
          <w:tcPr>
            <w:tcW w:w="2628" w:type="dxa"/>
            <w:tcBorders/>
          </w:tcPr>
          <w:p>
            <w:pPr>
              <w:pStyle w:val="Normal"/>
              <w:snapToGrid w:val="false"/>
              <w:rPr>
                <w:sz w:val="16"/>
              </w:rPr>
            </w:pPr>
            <w:r>
              <w:rPr>
                <w:sz w:val="16"/>
              </w:rPr>
            </w:r>
          </w:p>
        </w:tc>
        <w:tc>
          <w:tcPr>
            <w:tcW w:w="6750" w:type="dxa"/>
            <w:tcBorders/>
          </w:tcPr>
          <w:p>
            <w:pPr>
              <w:pStyle w:val="Normal"/>
              <w:snapToGrid w:val="false"/>
              <w:rPr>
                <w:sz w:val="16"/>
              </w:rPr>
            </w:pPr>
            <w:r>
              <w:rPr>
                <w:sz w:val="16"/>
              </w:rPr>
            </w:r>
          </w:p>
        </w:tc>
      </w:tr>
      <w:tr>
        <w:trPr/>
        <w:tc>
          <w:tcPr>
            <w:tcW w:w="2628" w:type="dxa"/>
            <w:tcBorders/>
          </w:tcPr>
          <w:p>
            <w:pPr>
              <w:pStyle w:val="Normal"/>
              <w:rPr>
                <w:b/>
              </w:rPr>
            </w:pPr>
            <w:r>
              <w:rPr>
                <w:b/>
              </w:rPr>
              <w:t>Technical Approach:</w:t>
            </w:r>
          </w:p>
        </w:tc>
        <w:tc>
          <w:tcPr>
            <w:tcW w:w="6750" w:type="dxa"/>
            <w:tcBorders/>
          </w:tcPr>
          <w:p>
            <w:pPr>
              <w:pStyle w:val="Normal"/>
              <w:rPr/>
            </w:pPr>
            <w:r>
              <w:rPr/>
              <w:t>The report relied on the collection and analysis of publicly available data from a variety of government, trade association and private sources.  The report relied on discussions with market participants to identify key trends in storage field development and use. Additionally, regulatory filings for individual storage projects were evaluated, and summarized for illustrative purposes.</w:t>
            </w:r>
          </w:p>
        </w:tc>
      </w:tr>
      <w:tr>
        <w:trPr/>
        <w:tc>
          <w:tcPr>
            <w:tcW w:w="2628" w:type="dxa"/>
            <w:tcBorders/>
          </w:tcPr>
          <w:p>
            <w:pPr>
              <w:pStyle w:val="Normal"/>
              <w:snapToGrid w:val="false"/>
              <w:rPr>
                <w:b/>
              </w:rPr>
            </w:pPr>
            <w:r>
              <w:rPr>
                <w:b/>
              </w:rPr>
            </w:r>
          </w:p>
        </w:tc>
        <w:tc>
          <w:tcPr>
            <w:tcW w:w="6750" w:type="dxa"/>
            <w:tcBorders/>
          </w:tcPr>
          <w:p>
            <w:pPr>
              <w:pStyle w:val="Normal"/>
              <w:snapToGrid w:val="false"/>
              <w:rPr>
                <w:b/>
              </w:rPr>
            </w:pPr>
            <w:r>
              <w:rPr>
                <w:b/>
              </w:rPr>
            </w:r>
          </w:p>
        </w:tc>
      </w:tr>
      <w:tr>
        <w:trPr/>
        <w:tc>
          <w:tcPr>
            <w:tcW w:w="2628" w:type="dxa"/>
            <w:tcBorders/>
          </w:tcPr>
          <w:p>
            <w:pPr>
              <w:pStyle w:val="Normal"/>
              <w:rPr>
                <w:b/>
              </w:rPr>
            </w:pPr>
            <w:r>
              <w:rPr>
                <w:b/>
              </w:rPr>
              <w:t>Results:</w:t>
            </w:r>
          </w:p>
        </w:tc>
        <w:tc>
          <w:tcPr>
            <w:tcW w:w="6750" w:type="dxa"/>
            <w:tcBorders/>
          </w:tcPr>
          <w:p>
            <w:pPr>
              <w:pStyle w:val="Normal"/>
              <w:rPr/>
            </w:pPr>
            <w:r>
              <w:rPr/>
              <w:t>Observed changes in the storage market are the result of a number of long term trends that are changing the nature of natural gas markets.  This report evaluates the impacts of four significant market trends and reaches the following conclusions:</w:t>
            </w:r>
          </w:p>
        </w:tc>
      </w:tr>
      <w:tr>
        <w:trPr/>
        <w:tc>
          <w:tcPr>
            <w:tcW w:w="2628" w:type="dxa"/>
            <w:tcBorders/>
          </w:tcPr>
          <w:p>
            <w:pPr>
              <w:pStyle w:val="Normal"/>
              <w:snapToGrid w:val="false"/>
              <w:rPr/>
            </w:pPr>
            <w:r>
              <w:rPr/>
            </w:r>
          </w:p>
        </w:tc>
        <w:tc>
          <w:tcPr>
            <w:tcW w:w="6750" w:type="dxa"/>
            <w:tcBorders/>
          </w:tcPr>
          <w:p>
            <w:pPr>
              <w:pStyle w:val="Normal"/>
              <w:snapToGrid w:val="false"/>
              <w:rPr/>
            </w:pPr>
            <w:r>
              <w:rPr/>
            </w:r>
          </w:p>
        </w:tc>
      </w:tr>
      <w:tr>
        <w:trPr/>
        <w:tc>
          <w:tcPr>
            <w:tcW w:w="2628" w:type="dxa"/>
            <w:tcBorders/>
          </w:tcPr>
          <w:p>
            <w:pPr>
              <w:pStyle w:val="ListNumber2"/>
              <w:numPr>
                <w:ilvl w:val="0"/>
                <w:numId w:val="0"/>
              </w:numPr>
              <w:snapToGrid w:val="false"/>
              <w:ind w:hanging="0" w:start="0"/>
              <w:rPr/>
            </w:pPr>
            <w:r>
              <w:rPr/>
            </w:r>
          </w:p>
        </w:tc>
        <w:tc>
          <w:tcPr>
            <w:tcW w:w="6750" w:type="dxa"/>
            <w:tcBorders/>
          </w:tcPr>
          <w:p>
            <w:pPr>
              <w:pStyle w:val="ListNumber2"/>
              <w:numPr>
                <w:ilvl w:val="0"/>
                <w:numId w:val="3"/>
              </w:numPr>
              <w:tabs>
                <w:tab w:val="clear" w:pos="720"/>
              </w:tabs>
              <w:ind w:hanging="0" w:start="0" w:end="0"/>
              <w:rPr/>
            </w:pPr>
            <w:r>
              <w:rPr/>
              <w:t xml:space="preserve">Pipeline restructuring is changing the role and value of storage. </w:t>
            </w:r>
          </w:p>
          <w:p>
            <w:pPr>
              <w:pStyle w:val="ListNumber2"/>
              <w:numPr>
                <w:ilvl w:val="0"/>
                <w:numId w:val="3"/>
              </w:numPr>
              <w:tabs>
                <w:tab w:val="clear" w:pos="720"/>
              </w:tabs>
              <w:ind w:hanging="0" w:start="0" w:end="0"/>
              <w:rPr/>
            </w:pPr>
            <w:r>
              <w:rPr/>
              <w:t>Growth in gas usage for power generation is likely to change the need for and value of storage.</w:t>
            </w:r>
          </w:p>
          <w:p>
            <w:pPr>
              <w:pStyle w:val="ListNumber2"/>
              <w:numPr>
                <w:ilvl w:val="0"/>
                <w:numId w:val="3"/>
              </w:numPr>
              <w:tabs>
                <w:tab w:val="clear" w:pos="720"/>
              </w:tabs>
              <w:ind w:hanging="0" w:start="0" w:end="0"/>
              <w:rPr/>
            </w:pPr>
            <w:r>
              <w:rPr/>
              <w:t>LDC restructuring is likely to increase the efficiency and value of storage services.</w:t>
            </w:r>
          </w:p>
          <w:p>
            <w:pPr>
              <w:pStyle w:val="ListNumber2"/>
              <w:numPr>
                <w:ilvl w:val="0"/>
                <w:numId w:val="3"/>
              </w:numPr>
              <w:tabs>
                <w:tab w:val="clear" w:pos="720"/>
              </w:tabs>
              <w:ind w:hanging="0" w:start="0" w:end="0"/>
              <w:rPr/>
            </w:pPr>
            <w:r>
              <w:rPr/>
              <w:t>Growth in natural gas peak day demand in the residential and commercial sectors will drive growth in gas storage requirements.</w:t>
            </w:r>
          </w:p>
        </w:tc>
      </w:tr>
      <w:tr>
        <w:trPr/>
        <w:tc>
          <w:tcPr>
            <w:tcW w:w="2628" w:type="dxa"/>
            <w:tcBorders/>
          </w:tcPr>
          <w:p>
            <w:pPr>
              <w:pStyle w:val="Normal"/>
              <w:snapToGrid w:val="false"/>
              <w:rPr>
                <w:b/>
              </w:rPr>
            </w:pPr>
            <w:r>
              <w:rPr>
                <w:b/>
              </w:rPr>
            </w:r>
          </w:p>
        </w:tc>
        <w:tc>
          <w:tcPr>
            <w:tcW w:w="6750" w:type="dxa"/>
            <w:tcBorders/>
          </w:tcPr>
          <w:p>
            <w:pPr>
              <w:pStyle w:val="Normal"/>
              <w:snapToGrid w:val="false"/>
              <w:rPr>
                <w:b/>
              </w:rPr>
            </w:pPr>
            <w:r>
              <w:rPr>
                <w:b/>
              </w:rPr>
            </w:r>
          </w:p>
        </w:tc>
      </w:tr>
      <w:tr>
        <w:trPr/>
        <w:tc>
          <w:tcPr>
            <w:tcW w:w="2628" w:type="dxa"/>
            <w:tcBorders/>
          </w:tcPr>
          <w:p>
            <w:pPr>
              <w:pStyle w:val="Normal"/>
              <w:rPr>
                <w:b/>
              </w:rPr>
            </w:pPr>
            <w:r>
              <w:rPr>
                <w:b/>
              </w:rPr>
              <w:t>GRI Project Manager:</w:t>
            </w:r>
          </w:p>
        </w:tc>
        <w:tc>
          <w:tcPr>
            <w:tcW w:w="6750" w:type="dxa"/>
            <w:tcBorders/>
          </w:tcPr>
          <w:p>
            <w:pPr>
              <w:pStyle w:val="Normal"/>
              <w:rPr/>
            </w:pPr>
            <w:r>
              <w:rPr/>
              <w:t>John Cochener</w:t>
            </w:r>
          </w:p>
          <w:p>
            <w:pPr>
              <w:pStyle w:val="Normal"/>
              <w:rPr/>
            </w:pPr>
            <w:r>
              <w:rPr/>
              <w:t>Principal Analyst, Resource Evaluation</w:t>
            </w:r>
          </w:p>
          <w:p>
            <w:pPr>
              <w:pStyle w:val="Normal"/>
              <w:rPr/>
            </w:pPr>
            <w:r>
              <w:rPr/>
              <w:t>GRI Baseline Center</w:t>
            </w:r>
          </w:p>
        </w:tc>
      </w:tr>
    </w:tbl>
    <w:p>
      <w:pPr>
        <w:pStyle w:val="Normal"/>
        <w:tabs>
          <w:tab w:val="clear" w:pos="720"/>
          <w:tab w:val="left" w:pos="-1440" w:leader="none"/>
          <w:tab w:val="left" w:pos="-720" w:leader="none"/>
          <w:tab w:val="right" w:pos="2397" w:leader="none"/>
          <w:tab w:val="left" w:pos="2880" w:leader="none"/>
        </w:tabs>
        <w:rPr/>
      </w:pPr>
      <w:r>
        <w:rPr/>
      </w:r>
    </w:p>
    <w:p>
      <w:pPr>
        <w:pStyle w:val="Normal"/>
        <w:tabs>
          <w:tab w:val="clear" w:pos="720"/>
          <w:tab w:val="left" w:pos="-1440" w:leader="none"/>
          <w:tab w:val="left" w:pos="-720" w:leader="none"/>
          <w:tab w:val="right" w:pos="2397" w:leader="none"/>
          <w:tab w:val="left" w:pos="2880" w:leader="none"/>
        </w:tabs>
        <w:rPr/>
      </w:pPr>
      <w:r>
        <w:rPr/>
      </w:r>
    </w:p>
    <w:p>
      <w:pPr>
        <w:pStyle w:val="Heading2"/>
        <w:ind w:hanging="0" w:start="0"/>
        <w:rPr/>
      </w:pPr>
      <w:r>
        <w:rPr/>
        <w:t>List of Exhibits</w:t>
      </w:r>
    </w:p>
    <w:p>
      <w:pPr>
        <w:pStyle w:val="Normal"/>
        <w:tabs>
          <w:tab w:val="clear" w:pos="720"/>
          <w:tab w:val="left" w:pos="554" w:leader="none"/>
          <w:tab w:val="left" w:pos="1252" w:leader="none"/>
          <w:tab w:val="right" w:pos="8640" w:leader="dot"/>
          <w:tab w:val="right" w:pos="9360" w:leader="none"/>
        </w:tabs>
        <w:suppressAutoHyphens w:val="true"/>
        <w:spacing w:before="0" w:after="80"/>
        <w:rPr/>
      </w:pPr>
      <w:r>
        <w:rPr/>
      </w:r>
    </w:p>
    <w:tbl>
      <w:tblPr>
        <w:tblW w:w="9468" w:type="dxa"/>
        <w:jc w:val="start"/>
        <w:tblInd w:w="0" w:type="dxa"/>
        <w:tblLayout w:type="fixed"/>
        <w:tblCellMar>
          <w:top w:w="0" w:type="dxa"/>
          <w:start w:w="108" w:type="dxa"/>
          <w:bottom w:w="0" w:type="dxa"/>
          <w:end w:w="108" w:type="dxa"/>
        </w:tblCellMar>
      </w:tblPr>
      <w:tblGrid>
        <w:gridCol w:w="1908"/>
        <w:gridCol w:w="7560"/>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Exhibit ES-1 </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Firm Storage Capacity Under Contract By Customer Type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Exhibit ES-2 </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Projected Lower-48 Storage Field Working Gas Capacity</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1-1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U.S. Natural Gas Supply &amp; Demand</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U.S. Natural Gas Storage and Peaking Capacity and Deliverability</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3-2</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Location of U.S. Storage Fields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3-3</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1997 Peak Day Natural Gas Deliverability and Demand</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3-4</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Existing EIA Underground Storage Capacity by Field Type and Type of Ownership</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3-5</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U.S. Storage Injections and Withdrawals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3-6</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U.S. Winter Heating Season Working Gas Drawdown and Heating Degree Days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3-7</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U.S. Working Gas Storage vs. Henry Hub Spot Prices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3-8</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1997 Storage Expenses for Interstate Storage Operators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4-1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Storage Volumes and Revenues for Major Storage Providers By Type of Service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Firm Storage Capacity Under Contract By Customer Type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5-2</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Percentage of Total Firm Storage Capacity Under Contract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5-3</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Number of Firm Storage Contracts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5-4</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Average Number of Years Remaining on Storage Contracts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5-5</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Firm Storage Capacity Under Contract, April 1, 1999 FERC Index of Customers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5-6</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 50 Holders of Gas Storage Capacity as of April 1, 1999</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5-7</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Firm Storage Capacity Under Contract by Region &amp; Customer Type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5-8</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Existing Interstate Firm Storage Capacity Under Contract as of April 1, 1999 by Storage Operator </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Planned Storage Capacity Additions by Region and Type of Storage as of December 1998</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6-2</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Storage Projects by Region and Status as of December 1998</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6-3</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Incremental Cost of Working Gas Capacity for Proposed Storage Projects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6-4</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Incremental Cost of Deliverability for Proposed Storage Projects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6-5</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Average Cost of Proposed Storage Projects by Region and Type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6-6</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Estimated Cost Factors for Storage Field Expansion Projects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6-7</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Estimated Cost of Potential Expansion of Existing Storage Fields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7-1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Projected Lower-48 Storage Field Working Gas Capacity</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7-2</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Historical and Projected U.S. Storage Investment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A-1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Differences Between EIA and AGA Underground Storage Capacity and Deliverability Estimates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B-1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Construction and Annual Operation and Maintenance Costs, for the Saltville Salt Cavern Storage Project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B-2</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Construction and Annual Operation and Maintenance Costs, for the Young Storage Project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B-3</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Construction and Annual Operation and Maintenance Costs, for the Etowah LNG Project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Exhibit C-1</w:t>
            </w:r>
          </w:p>
        </w:tc>
        <w:tc>
          <w:tcPr>
            <w:tcW w:w="75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Basis for Storage Rates and Costs of Service for the Saltville Salt Cavern Storage Project</w:t>
            </w:r>
          </w:p>
        </w:tc>
      </w:tr>
    </w:tbl>
    <w:p>
      <w:pPr>
        <w:pStyle w:val="Normal"/>
        <w:rPr/>
      </w:pPr>
      <w:r>
        <w:rPr/>
      </w:r>
    </w:p>
    <w:p>
      <w:pPr>
        <w:pStyle w:val="Heading1"/>
        <w:ind w:hanging="0" w:start="0"/>
        <w:rPr/>
      </w:pPr>
      <w:r>
        <w:rPr/>
        <w:t>Executive Summary</w:t>
      </w:r>
    </w:p>
    <w:p>
      <w:pPr>
        <w:pStyle w:val="BodyText"/>
        <w:rPr/>
      </w:pPr>
      <w:r>
        <w:rPr/>
      </w:r>
    </w:p>
    <w:p>
      <w:pPr>
        <w:pStyle w:val="eeaopen"/>
        <w:spacing w:lineRule="auto" w:line="240"/>
        <w:rPr/>
      </w:pPr>
      <w:r>
        <w:rPr/>
      </w:r>
    </w:p>
    <w:p>
      <w:pPr>
        <w:pStyle w:val="eeaopen"/>
        <w:spacing w:lineRule="auto" w:line="240"/>
        <w:rPr/>
      </w:pPr>
      <w:r>
        <w:rPr/>
      </w:r>
    </w:p>
    <w:p>
      <w:pPr>
        <w:pStyle w:val="eeaopen"/>
        <w:spacing w:lineRule="auto" w:line="240"/>
        <w:rPr/>
      </w:pPr>
      <w:r>
        <w:rPr/>
        <w:t>Recent changes in the market for natural gas are changing the role and economics of natural gas storage.  The development of market hubs has increased the importance of strategically located storage fields, and expanded the types of services made available by storage providers.  Changes in pipeline rate structures, and the increase in importance of pipeline capacity discounting and capacity release have changed the economics of many storage facilities.  LDC restructuring is impacting the use of storage, and storage contracting practices of many LDCs.  In addition, the change in natural gas demand mix, particularly the growth in gas demand for electric generation, has changed the overall load factor of natural gas demand, with a significant impact on storage requirements.  These factors, taken together are resulting in significant changes in the role and operation of natural gas storage.</w:t>
      </w:r>
    </w:p>
    <w:p>
      <w:pPr>
        <w:pStyle w:val="eeaopen"/>
        <w:spacing w:lineRule="auto" w:line="240"/>
        <w:rPr/>
      </w:pPr>
      <w:r>
        <w:rPr/>
      </w:r>
    </w:p>
    <w:p>
      <w:pPr>
        <w:pStyle w:val="eeaopen"/>
        <w:spacing w:lineRule="auto" w:line="240"/>
        <w:rPr/>
      </w:pPr>
      <w:r>
        <w:rPr/>
        <w:t>This report reviews the function of storage in the current natural gas markets, discusses how storage ownership and operations have changed over time, and looks at the factors that are likely to influence the role and economics of storage in the future, including the cost and potential of incremental storage expansion and impacts of future demand on storage needs.</w:t>
      </w:r>
    </w:p>
    <w:p>
      <w:pPr>
        <w:pStyle w:val="BodyText"/>
        <w:rPr/>
      </w:pPr>
      <w:r>
        <w:rPr/>
      </w:r>
    </w:p>
    <w:p>
      <w:pPr>
        <w:pStyle w:val="BodyText"/>
        <w:rPr/>
      </w:pPr>
      <w:r>
        <w:rPr/>
      </w:r>
    </w:p>
    <w:p>
      <w:pPr>
        <w:pStyle w:val="Heading2"/>
        <w:ind w:hanging="0" w:start="0"/>
        <w:rPr/>
      </w:pPr>
      <w:r>
        <w:rPr/>
        <w:t>Key Trends Influencing Future Value Of Natural Gas Storage</w:t>
      </w:r>
    </w:p>
    <w:p>
      <w:pPr>
        <w:pStyle w:val="eeaopen"/>
        <w:spacing w:lineRule="auto" w:line="240"/>
        <w:rPr/>
      </w:pPr>
      <w:r>
        <w:rPr/>
      </w:r>
    </w:p>
    <w:p>
      <w:pPr>
        <w:pStyle w:val="eeaopen"/>
        <w:spacing w:lineRule="auto" w:line="240"/>
        <w:rPr/>
      </w:pPr>
      <w:r>
        <w:rPr/>
        <w:t>This report looks at three significant market trends that are changing the nature of natural gas storage markets.</w:t>
      </w:r>
    </w:p>
    <w:p>
      <w:pPr>
        <w:pStyle w:val="eeaopen"/>
        <w:spacing w:lineRule="auto" w:line="240"/>
        <w:rPr>
          <w:b/>
        </w:rPr>
      </w:pPr>
      <w:r>
        <w:rPr>
          <w:b/>
        </w:rPr>
      </w:r>
    </w:p>
    <w:p>
      <w:pPr>
        <w:pStyle w:val="ListNumber"/>
        <w:numPr>
          <w:ilvl w:val="0"/>
          <w:numId w:val="5"/>
        </w:numPr>
        <w:ind w:hanging="0" w:start="0"/>
        <w:rPr/>
      </w:pPr>
      <w:r>
        <w:rPr>
          <w:b/>
        </w:rPr>
        <w:t>Pipeline restructuring is changing the role and value of storage:</w:t>
      </w:r>
      <w:r>
        <w:rPr/>
        <w:t xml:space="preserve">  Pipeline restructuring following FERC Order 636 has resulted in a range of market changes influencing the use and value of natural gas storage.  These changes include: the unbundling of pipeline service, a shift to straight fixed variable rate design, the development of a secondary market for storage and pipeline capacity, the growth in importance of market hubs and gas marketers, and a shift toward market-based rates for storage service.</w:t>
      </w:r>
    </w:p>
    <w:p>
      <w:pPr>
        <w:pStyle w:val="ListNumber"/>
        <w:numPr>
          <w:ilvl w:val="0"/>
          <w:numId w:val="0"/>
        </w:numPr>
        <w:ind w:hanging="0" w:start="0"/>
        <w:rPr/>
      </w:pPr>
      <w:r>
        <w:rPr/>
      </w:r>
    </w:p>
    <w:p>
      <w:pPr>
        <w:pStyle w:val="ListNumber"/>
        <w:numPr>
          <w:ilvl w:val="0"/>
          <w:numId w:val="5"/>
        </w:numPr>
        <w:ind w:hanging="0" w:start="0"/>
        <w:rPr/>
      </w:pPr>
      <w:r>
        <w:rPr>
          <w:b/>
        </w:rPr>
        <w:t xml:space="preserve">Growth in gas usage for power generation is likely to increase the value of market area storage: </w:t>
      </w:r>
      <w:r>
        <w:rPr/>
        <w:t xml:space="preserve">Due to improvements in technology, favorable economics, and low emissions, natural gas is expected to be the incremental fuel for power generation for the foreseeable future.  In addition, electric utility restructuring is resulting in the development of a flexible and visible spot market for electric power; greater incentive to minimize costs and increase operational flexibility of generating stations; and increased flexibility and incentives to arbitrage between natural gas and alternative fuels to generate electricity.  These factors are likely to increase the value of high deliverability market area storage. </w:t>
      </w:r>
    </w:p>
    <w:p>
      <w:pPr>
        <w:pStyle w:val="ListNumber"/>
        <w:numPr>
          <w:ilvl w:val="0"/>
          <w:numId w:val="0"/>
        </w:numPr>
        <w:ind w:hanging="0" w:start="0"/>
        <w:rPr>
          <w:b/>
        </w:rPr>
      </w:pPr>
      <w:r>
        <w:rPr>
          <w:b/>
        </w:rPr>
      </w:r>
    </w:p>
    <w:p>
      <w:pPr>
        <w:pStyle w:val="ListNumber"/>
        <w:numPr>
          <w:ilvl w:val="0"/>
          <w:numId w:val="5"/>
        </w:numPr>
        <w:ind w:hanging="0" w:start="0"/>
        <w:rPr/>
      </w:pPr>
      <w:r>
        <w:rPr>
          <w:b/>
        </w:rPr>
        <w:t>LDC restructuring is likely to increase the efficiency of storage services:</w:t>
      </w:r>
      <w:r>
        <w:rPr/>
        <w:t xml:space="preserve">  Natural Gas LDCs are proceeding with restructuring and unbundling in many states.  In some states, such as Georgia, LDCs are getting out of the merchant function altogether.  The gas merchant function would be subjected to greater competition with services provided by gas marketers, including unregulated affiliates of the existing LDCs.  At least initially, there will be many more entities holding the rights to pipeline and LDC storage.  The holders of storage are more likely to have a direct profit motive to maximize the value of the storage, hence, the market is likely to see new storage services being offered, and more effective use of existing storage facilities in order to increase profitability. </w:t>
      </w:r>
    </w:p>
    <w:p>
      <w:pPr>
        <w:pStyle w:val="eeaopen"/>
        <w:spacing w:lineRule="auto" w:line="240"/>
        <w:rPr>
          <w:b/>
        </w:rPr>
      </w:pPr>
      <w:r>
        <w:rPr>
          <w:b/>
        </w:rPr>
      </w:r>
    </w:p>
    <w:p>
      <w:pPr>
        <w:pStyle w:val="eeaopen"/>
        <w:spacing w:lineRule="auto" w:line="240"/>
        <w:rPr>
          <w:b/>
        </w:rPr>
      </w:pPr>
      <w:r>
        <w:rPr>
          <w:b/>
        </w:rPr>
      </w:r>
    </w:p>
    <w:p>
      <w:pPr>
        <w:pStyle w:val="Heading2"/>
        <w:ind w:hanging="0" w:start="0"/>
        <w:rPr/>
      </w:pPr>
      <w:r>
        <w:rPr/>
        <w:t>Recent Trends In Natural Gas Storage Contracting Practices</w:t>
      </w:r>
    </w:p>
    <w:p>
      <w:pPr>
        <w:pStyle w:val="eeaopen"/>
        <w:spacing w:lineRule="auto" w:line="240"/>
        <w:rPr/>
      </w:pPr>
      <w:r>
        <w:rPr/>
      </w:r>
    </w:p>
    <w:p>
      <w:pPr>
        <w:pStyle w:val="eeaopen"/>
        <w:spacing w:lineRule="auto" w:line="240"/>
        <w:rPr/>
      </w:pPr>
      <w:r>
        <w:rPr/>
        <w:t>The impacts of recent changes in storage markets are apparent in changes in the amount of storage capacity under contract and the key characteristics of storage contracts observed in the FERC Index of Customer filings by interstate pipelines and storage operators.  Exhibit ES-1 illustrates the changes in capacity under contract and changes in customer mix since 1996.</w:t>
      </w:r>
    </w:p>
    <w:p>
      <w:pPr>
        <w:pStyle w:val="eeaopen"/>
        <w:spacing w:lineRule="auto" w:line="240"/>
        <w:rPr/>
      </w:pPr>
      <w:r>
        <w:rPr/>
      </w:r>
    </w:p>
    <w:p>
      <w:pPr>
        <w:pStyle w:val="eeaopen"/>
        <w:spacing w:lineRule="auto" w:line="240"/>
        <w:rPr/>
      </w:pPr>
      <w:r>
        <w:rPr/>
      </w:r>
    </w:p>
    <w:p>
      <w:pPr>
        <w:pStyle w:val="Heading5"/>
        <w:ind w:hanging="1350" w:start="1350" w:end="0"/>
        <w:rPr/>
      </w:pPr>
      <w:r>
        <w:rPr/>
        <w:t>Exhibit ES-1</w:t>
      </w:r>
    </w:p>
    <w:p>
      <w:pPr>
        <w:pStyle w:val="Heading5"/>
        <w:ind w:hanging="1350" w:start="1350" w:end="0"/>
        <w:rPr/>
      </w:pPr>
      <w:r>
        <w:rPr/>
        <w:t>Total Firm Storage Capacity Under Contract by Customer Type (TBtus)</w:t>
      </w:r>
    </w:p>
    <w:p>
      <w:pPr>
        <w:pStyle w:val="Normal"/>
        <w:jc w:val="center"/>
        <w:rPr>
          <w:rFonts w:ascii="Arial" w:hAnsi="Arial" w:cs="Arial"/>
          <w:b/>
          <w:color w:val="000000"/>
          <w:lang w:eastAsia="en-US"/>
        </w:rPr>
      </w:pPr>
      <w:r>
        <w:rPr>
          <w:rFonts w:cs="Arial" w:ascii="Arial" w:hAnsi="Arial"/>
          <w:b/>
          <w:color w:val="000000"/>
          <w:lang w:eastAsia="en-US"/>
        </w:rPr>
      </w:r>
    </w:p>
    <w:tbl>
      <w:tblPr>
        <w:tblW w:w="7218" w:type="dxa"/>
        <w:jc w:val="center"/>
        <w:tblInd w:w="0" w:type="dxa"/>
        <w:tblLayout w:type="fixed"/>
        <w:tblCellMar>
          <w:top w:w="0" w:type="dxa"/>
          <w:start w:w="108" w:type="dxa"/>
          <w:bottom w:w="0" w:type="dxa"/>
          <w:end w:w="108" w:type="dxa"/>
        </w:tblCellMar>
      </w:tblPr>
      <w:tblGrid>
        <w:gridCol w:w="3378"/>
        <w:gridCol w:w="1050"/>
        <w:gridCol w:w="990"/>
        <w:gridCol w:w="900"/>
        <w:gridCol w:w="900"/>
      </w:tblGrid>
      <w:tr>
        <w:trPr/>
        <w:tc>
          <w:tcPr>
            <w:tcW w:w="33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lang w:eastAsia="en-US"/>
              </w:rPr>
            </w:pPr>
            <w:r>
              <w:rPr>
                <w:b/>
                <w:lang w:eastAsia="en-US"/>
              </w:rPr>
            </w:r>
          </w:p>
        </w:tc>
        <w:tc>
          <w:tcPr>
            <w:tcW w:w="1050" w:type="dxa"/>
            <w:tcBorders>
              <w:top w:val="single" w:sz="6" w:space="0" w:color="000000"/>
              <w:start w:val="single" w:sz="6" w:space="0" w:color="000000"/>
              <w:bottom w:val="single" w:sz="6" w:space="0" w:color="000000"/>
              <w:end w:val="single" w:sz="6" w:space="0" w:color="000000"/>
            </w:tcBorders>
            <w:shd w:fill="F2F2F2" w:val="clear"/>
          </w:tcPr>
          <w:p>
            <w:pPr>
              <w:pStyle w:val="Normal"/>
              <w:jc w:val="end"/>
              <w:rPr>
                <w:b/>
                <w:lang w:eastAsia="en-US"/>
              </w:rPr>
            </w:pPr>
            <w:r>
              <w:rPr>
                <w:b/>
                <w:lang w:eastAsia="en-US"/>
              </w:rPr>
              <w:t>April 1996</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Gas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911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904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880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838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Combined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472</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466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Electric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Cogen/IPPs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Industrial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Marketers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156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234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317</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Pipelines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200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225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266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Other/Unknown</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Total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1,709</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1,779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1,860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1,927</w:t>
            </w:r>
          </w:p>
        </w:tc>
      </w:tr>
    </w:tbl>
    <w:p>
      <w:pPr>
        <w:pStyle w:val="EEAHead1"/>
        <w:tabs>
          <w:tab w:val="clear" w:pos="720"/>
        </w:tabs>
        <w:spacing w:before="0" w:after="0"/>
        <w:rPr>
          <w:caps w:val="false"/>
          <w:smallCaps w:val="false"/>
        </w:rPr>
      </w:pPr>
      <w:r>
        <w:rPr>
          <w:caps w:val="false"/>
          <w:smallCaps w:val="false"/>
        </w:rPr>
      </w:r>
    </w:p>
    <w:p>
      <w:pPr>
        <w:pStyle w:val="eeaopen"/>
        <w:spacing w:lineRule="auto" w:line="240"/>
        <w:rPr>
          <w:caps/>
        </w:rPr>
      </w:pPr>
      <w:r>
        <w:rPr>
          <w:caps/>
        </w:rPr>
      </w:r>
    </w:p>
    <w:p>
      <w:pPr>
        <w:pStyle w:val="eeaopen"/>
        <w:spacing w:lineRule="auto" w:line="240" w:before="0" w:after="60"/>
        <w:rPr/>
      </w:pPr>
      <w:r>
        <w:rPr/>
        <w:t>Key trends in storage contracting include:</w:t>
      </w:r>
    </w:p>
    <w:p>
      <w:pPr>
        <w:pStyle w:val="ListBullet"/>
        <w:numPr>
          <w:ilvl w:val="0"/>
          <w:numId w:val="6"/>
        </w:numPr>
        <w:ind w:hanging="0" w:start="0"/>
        <w:rPr/>
      </w:pPr>
      <w:r>
        <w:rPr/>
        <w:t>The amount of firm storage capacity under contract has been increasing steadily: Based on interstate pipeline and storage provider Index of Customer filings with the FERC, total firm storage capacity under contract increased by 13 percent between 1996 and 1999, from 1,709 TBtus of firm storage capacity on April 1, 1996 to 1,927 TBtus on April 1, 1999.</w:t>
      </w:r>
    </w:p>
    <w:p>
      <w:pPr>
        <w:pStyle w:val="ListBullet"/>
        <w:numPr>
          <w:ilvl w:val="0"/>
          <w:numId w:val="6"/>
        </w:numPr>
        <w:ind w:hanging="0" w:start="0"/>
        <w:rPr/>
      </w:pPr>
      <w:r>
        <w:rPr/>
        <w:t>Storage capacity under contract has been shifting from gas utilities and combined utilities to gas marketers and pipelines: Firm storage capacity held by gas and combined utilities declined by six percent from 1,388 TBtus to 1,304 TBtus between April 1, 1996 and April 1, 1999, while capacity held by natural gas marketers more than tripled, increasing from 98 TBtus to 317 TBtus, and capacity held by pipelines increased from 178 TBtus to 266 TBtus.</w:t>
      </w:r>
    </w:p>
    <w:p>
      <w:pPr>
        <w:pStyle w:val="ListBullet"/>
        <w:numPr>
          <w:ilvl w:val="0"/>
          <w:numId w:val="6"/>
        </w:numPr>
        <w:ind w:hanging="0" w:start="0"/>
        <w:rPr/>
      </w:pPr>
      <w:r>
        <w:rPr/>
        <w:t xml:space="preserve">Half of all existing storage contracts, accounting for just over one half of the total current storage contract capacity under contract, will expire by 2003.  By 2005, 70 percent of current firm capacity contracts will have expired.  The turnover in storage contracts will provide an opportunity for the storage industry to adapt to changing market conditions.  As contracts expire, contract terms and conditions of new contracts may be revised to create additional storage use flexibility for high value storage fields, while reducing contractual obligations and revenues for less valuable storage facilities. </w:t>
      </w:r>
    </w:p>
    <w:p>
      <w:pPr>
        <w:pStyle w:val="ListBullet"/>
        <w:numPr>
          <w:ilvl w:val="0"/>
          <w:numId w:val="6"/>
        </w:numPr>
        <w:ind w:hanging="0" w:start="0"/>
        <w:rPr/>
      </w:pPr>
      <w:r>
        <w:rPr/>
        <w:t>The average remaining storage contract length declined by six months between 1996 and 1999: The remaining life before expiration of the average storage contract declined from 6.8 years as of April 1, 1996 to 6.2 years as of April 1, 1999.  The reduction in the average length of contract indicates a reluctance by gas storage users to sign longer term contract commitments, hence increasing the risk associated with storage investment and ownership.</w:t>
      </w:r>
    </w:p>
    <w:p>
      <w:pPr>
        <w:pStyle w:val="eeaopen"/>
        <w:spacing w:lineRule="auto" w:line="240"/>
        <w:rPr/>
      </w:pPr>
      <w:r>
        <w:rPr/>
      </w:r>
    </w:p>
    <w:p>
      <w:pPr>
        <w:pStyle w:val="eeaopen"/>
        <w:spacing w:lineRule="auto" w:line="240"/>
        <w:rPr/>
      </w:pPr>
      <w:r>
        <w:rPr/>
      </w:r>
    </w:p>
    <w:p>
      <w:pPr>
        <w:pStyle w:val="Heading2"/>
        <w:ind w:hanging="0" w:start="0"/>
        <w:rPr/>
      </w:pPr>
      <w:r>
        <w:rPr/>
        <w:t xml:space="preserve">Future Demand for Natural Gas Storage </w:t>
      </w:r>
    </w:p>
    <w:p>
      <w:pPr>
        <w:pStyle w:val="eeaopen"/>
        <w:spacing w:lineRule="auto" w:line="240"/>
        <w:rPr/>
      </w:pPr>
      <w:r>
        <w:rPr/>
      </w:r>
    </w:p>
    <w:p>
      <w:pPr>
        <w:pStyle w:val="eeaopen"/>
        <w:spacing w:lineRule="auto" w:line="240"/>
        <w:rPr/>
      </w:pPr>
      <w:r>
        <w:rPr/>
        <w:t>GRI and other industry and government organizations are projecting continuing growth in seasonal natural gas demand in the residential and commercial sectors.  The most recent version of the GRI Baseline</w:t>
      </w:r>
      <w:r>
        <w:rPr>
          <w:rStyle w:val="FootnoteCharacters"/>
          <w:rStyle w:val="FootnoteReference"/>
        </w:rPr>
        <w:footnoteReference w:id="2"/>
      </w:r>
      <w:r>
        <w:rPr/>
        <w:t xml:space="preserve"> is projecting U.S. natural gas demand to increase by more than 50 percent, from 21.3 Tcf in 1998 to 32.8 Tcf by 2015.</w:t>
      </w:r>
    </w:p>
    <w:p>
      <w:pPr>
        <w:pStyle w:val="eeaopen"/>
        <w:spacing w:lineRule="auto" w:line="240"/>
        <w:rPr/>
      </w:pPr>
      <w:r>
        <w:rPr/>
      </w:r>
    </w:p>
    <w:p>
      <w:pPr>
        <w:pStyle w:val="eeaopen"/>
        <w:spacing w:lineRule="auto" w:line="240"/>
        <w:rPr/>
      </w:pPr>
      <w:r>
        <w:rPr/>
        <w:t xml:space="preserve">Natural gas storage requirements are not expected to increase at the same rate as consumption.  Two trends in natural gas consumption will substantially decrease the overall seasonality of natural gas consumption over the GRI baseline projection period.  First, nearly 80 percent of the increase in gas consumption between 1998 and 2015 is in the industrial and power generation sectors, which have relatively flat year-round load profiles.  Only about 20 percent, or 2.3 Tcf of the growth in consumption is expected to occur in the residential and commercial sectors, where most of the seasonality in gas consumption occurs.  In addition, within the winter-peaking residential and commercial gas markets, the share of space heating is expected to decline as growth occurs in demand for services that have little winter-peaking, such as water heating, cooling, or cogeneration. </w:t>
      </w:r>
    </w:p>
    <w:p>
      <w:pPr>
        <w:pStyle w:val="eeaopen"/>
        <w:spacing w:lineRule="auto" w:line="240"/>
        <w:rPr/>
      </w:pPr>
      <w:r>
        <w:rPr/>
      </w:r>
    </w:p>
    <w:p>
      <w:pPr>
        <w:pStyle w:val="eeaopen"/>
        <w:spacing w:lineRule="auto" w:line="240"/>
        <w:rPr/>
      </w:pPr>
      <w:r>
        <w:rPr/>
        <w:t>Even though the overall natural gas consumption load factor is expected to flatten, the growth in residential and commercial demand will result in a significant increase in seasonal demand in absolute terms.  Lower-48 storage working gas capacity is projected to increase by 21 percent between 1998 and 2015, from 3.8 Tcf to 4.6 Tcf in order to meet the increase in seasonal deliverability requirements, and to adapt to changes in pipeline and storage operations resulting from the growth in power generation demand and regulatory structure.  As shown in Exhibit ES-2, near term increases in storage capacity are relatively small.  Only 0.2 Tcf of storage capacity additions are projected between 1999 and 2005.  The remaining 0.6 Tcf of storage capacity is expected to be added after 2005.  The increase in storage capacity will require a total investment of nearly five billion dollars (Real 1998 $) between 1998 and 2015, with annual average investment of about 270 million dollars.</w:t>
      </w:r>
    </w:p>
    <w:p>
      <w:pPr>
        <w:pStyle w:val="eeaopen"/>
        <w:spacing w:lineRule="auto" w:line="240"/>
        <w:rPr/>
      </w:pPr>
      <w:r>
        <w:rPr/>
      </w:r>
    </w:p>
    <w:p>
      <w:pPr>
        <w:pStyle w:val="eeaopen"/>
        <w:spacing w:lineRule="auto" w:line="240"/>
        <w:rPr/>
      </w:pPr>
      <w:bookmarkStart w:id="1" w:name="_1011539444"/>
      <w:bookmarkStart w:id="2" w:name="_1009614724"/>
      <w:bookmarkEnd w:id="1"/>
      <w:bookmarkEnd w:id="2"/>
      <w:r>
        <w:rPr/>
        <w:object w:dxaOrig="14081" w:dyaOrig="9217">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58.6pt;height:312.65pt" filled="f" o:ole="">
            <v:imagedata r:id="rId6" o:title=""/>
          </v:shape>
          <o:OLEObject Type="Embed" ProgID="Excel.Sheet.12" ShapeID="ole_rId5" DrawAspect="Content" ObjectID="_2130377665" r:id="rId5"/>
        </w:object>
      </w:r>
    </w:p>
    <w:p>
      <w:pPr>
        <w:pStyle w:val="eeaopen"/>
        <w:spacing w:lineRule="auto" w:line="240"/>
        <w:rPr/>
      </w:pPr>
      <w:r>
        <w:rPr/>
      </w:r>
    </w:p>
    <w:p>
      <w:pPr>
        <w:pStyle w:val="eeaopen"/>
        <w:spacing w:lineRule="auto" w:line="240"/>
        <w:rPr/>
      </w:pPr>
      <w:r>
        <w:rPr/>
      </w:r>
    </w:p>
    <w:p>
      <w:pPr>
        <w:pStyle w:val="eeaopen"/>
        <w:spacing w:lineRule="auto" w:line="240"/>
        <w:rPr/>
      </w:pPr>
      <w:r>
        <w:rPr/>
        <w:t>Even though the demand for natural gas storage capacity is not growing as quickly as the demand for natural gas, changes in the nature of natural gas demand are increasing the value of well placed storage facilities, and changes in the natural gas regulatory environment are increasing the flexibility of services that are offered by storage providers.  Both trends will increase the value of strategically placed facilities with flexible operational characteristics, while potentially decreasing the value of other less flexible storage facilities.</w:t>
      </w:r>
    </w:p>
    <w:p>
      <w:pPr>
        <w:pStyle w:val="eeaopen"/>
        <w:spacing w:lineRule="auto" w:line="240"/>
        <w:rPr/>
      </w:pPr>
      <w:r>
        <w:rPr/>
      </w:r>
    </w:p>
    <w:p>
      <w:pPr>
        <w:pStyle w:val="eeaopen"/>
        <w:spacing w:lineRule="auto" w:line="240"/>
        <w:rPr/>
      </w:pPr>
      <w:r>
        <w:rPr/>
        <w:t>Much of the growth in natural gas demand over the next 10 to 20 years is expected in new gas fired combustion turbine electric power plants (primarily combined cycle).  These units have highly variable demands and require significant surge capacity to accommodate rapid on/off cycles.  When located appropriately, underground storage with rapid injection and withdrawal capabilities is perhaps the easiest and least expensive method of meeting these surge requirements.  This trend seems unlikely to stimulate significant new storage development since the location of potential new underground storage fields generally will not correspond with the location of new generating facilities.  Pipeline linepack and compression will often provide a more economic approach to meeting these surge requirements.</w:t>
      </w:r>
    </w:p>
    <w:p>
      <w:pPr>
        <w:pStyle w:val="eeaopen"/>
        <w:spacing w:lineRule="auto" w:line="240"/>
        <w:rPr/>
      </w:pPr>
      <w:r>
        <w:rPr/>
        <w:object w:dxaOrig="14081" w:dyaOrig="89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294.6pt;width:1.25pt;height:1.25pt;mso-wrap-distance-left:9.05pt;mso-wrap-distance-right:9.05pt;mso-position-horizontal-relative:text;mso-position-vertical-relative:text" filled="f" o:ole="">
            <v:imagedata r:id="rId8" o:title=""/>
            <w10:wrap type="topAndBottom"/>
          </v:shape>
          <o:OLEObject Type="Embed" ProgID="Excel.Sheet.12" ShapeID="ole_rId7" DrawAspect="Content" ObjectID="_960980368" r:id="rId7"/>
        </w:object>
      </w:r>
    </w:p>
    <w:p>
      <w:pPr>
        <w:pStyle w:val="eeaopen"/>
        <w:spacing w:lineRule="auto" w:line="240"/>
        <w:rPr/>
      </w:pPr>
      <w:r>
        <w:rPr/>
        <w:t>The changing regulatory environment also has mixed impacts on future demand for storage.  The shift toward a single fixed variable rate (SFV) structure, and the continuing unbundling of end-use natural gas services is likely to increase the share of capacity costs charged to usage on the peak day.  This trend will increase incentives on the part of end-users to constrain peak period gas demand, which will tend to flatten the overall gas demand profile.  Any flattening of the overall load profile will tend to reduce the value of storage.  However, the shift toward SFV rates also will encourage higher utilization of pipeline capacity, which increases the value of market area storage.</w:t>
      </w:r>
    </w:p>
    <w:p>
      <w:pPr>
        <w:pStyle w:val="eeaopen"/>
        <w:spacing w:lineRule="auto" w:line="240"/>
        <w:rPr/>
      </w:pPr>
      <w:r>
        <w:rPr/>
      </w:r>
    </w:p>
    <w:p>
      <w:pPr>
        <w:pStyle w:val="eeaopen"/>
        <w:spacing w:lineRule="auto" w:line="240"/>
        <w:rPr/>
      </w:pPr>
      <w:r>
        <w:rPr/>
        <w:t>In addition, the current regulatory trend toward increasing competition is likely to result in more efficient use of existing storage fields, hence reducing the need for new storage capacity.</w:t>
      </w:r>
    </w:p>
    <w:p>
      <w:pPr>
        <w:pStyle w:val="eeaopen"/>
        <w:spacing w:lineRule="auto" w:line="240"/>
        <w:rPr/>
      </w:pPr>
      <w:r>
        <w:rPr/>
      </w:r>
    </w:p>
    <w:p>
      <w:pPr>
        <w:pStyle w:val="eeaopen"/>
        <w:spacing w:lineRule="auto" w:line="240"/>
        <w:rPr/>
      </w:pPr>
      <w:r>
        <w:rPr/>
      </w:r>
    </w:p>
    <w:p>
      <w:pPr>
        <w:pStyle w:val="Heading1"/>
        <w:ind w:hanging="0" w:start="0"/>
        <w:rPr/>
      </w:pPr>
      <w:r>
        <w:rPr/>
        <w:t>1.  Introduction</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t>Natural gas storage plays a key role in the U.S. natural gas industry, smoothing over differences between natural gas production patterns and natural gas demand, and minimizing the costs of the natural gas transmission and distribution system.  Exhibit 1-1 illustrates the seasonal pattern of U.S. natural gas demand with domestic production and Canadian imports.  The differences between supply (production and imports) and demand are accounted for by injections into and withdrawals from storage.</w:t>
      </w:r>
    </w:p>
    <w:p>
      <w:pPr>
        <w:pStyle w:val="eeaopen"/>
        <w:spacing w:lineRule="auto" w:line="240"/>
        <w:rPr/>
      </w:pPr>
      <w:r>
        <w:rPr/>
      </w:r>
    </w:p>
    <w:p>
      <w:pPr>
        <w:pStyle w:val="Normal"/>
        <w:ind w:start="720" w:end="0"/>
        <w:rPr>
          <w:lang w:val="en-CA"/>
        </w:rPr>
      </w:pPr>
      <w:r>
        <w:rPr>
          <w:lang w:val="en-CA"/>
        </w:rPr>
        <w:drawing>
          <wp:anchor behindDoc="0" distT="0" distB="0" distL="114935" distR="114935" simplePos="0" locked="0" layoutInCell="0" allowOverlap="1" relativeHeight="41">
            <wp:simplePos x="0" y="0"/>
            <wp:positionH relativeFrom="column">
              <wp:posOffset>0</wp:posOffset>
            </wp:positionH>
            <wp:positionV relativeFrom="paragraph">
              <wp:posOffset>124460</wp:posOffset>
            </wp:positionV>
            <wp:extent cx="5479415" cy="383349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9"/>
                    <a:srcRect l="-4" t="-6" r="-4" b="-6"/>
                    <a:stretch>
                      <a:fillRect/>
                    </a:stretch>
                  </pic:blipFill>
                  <pic:spPr bwMode="auto">
                    <a:xfrm>
                      <a:off x="0" y="0"/>
                      <a:ext cx="5479415" cy="3833495"/>
                    </a:xfrm>
                    <a:prstGeom prst="rect">
                      <a:avLst/>
                    </a:prstGeom>
                    <a:noFill/>
                  </pic:spPr>
                </pic:pic>
              </a:graphicData>
            </a:graphic>
          </wp:anchor>
        </w:drawing>
      </w:r>
    </w:p>
    <w:p>
      <w:pPr>
        <w:pStyle w:val="eeaopen"/>
        <w:spacing w:lineRule="auto" w:line="240"/>
        <w:rPr>
          <w:b/>
          <w:sz w:val="16"/>
        </w:rPr>
      </w:pPr>
      <w:r>
        <w:rPr>
          <w:b/>
          <w:sz w:val="16"/>
        </w:rPr>
        <w:t>Source:</w:t>
      </w:r>
    </w:p>
    <w:p>
      <w:pPr>
        <w:pStyle w:val="eeaopen"/>
        <w:spacing w:lineRule="auto" w:line="240"/>
        <w:rPr>
          <w:sz w:val="12"/>
        </w:rPr>
      </w:pPr>
      <w:r>
        <w:rPr>
          <w:sz w:val="12"/>
        </w:rPr>
        <w:t>EIA,  Natural Gas Monthly</w:t>
      </w:r>
    </w:p>
    <w:p>
      <w:pPr>
        <w:pStyle w:val="EEAHead1"/>
        <w:spacing w:before="0" w:after="0"/>
        <w:rPr>
          <w:sz w:val="12"/>
        </w:rPr>
      </w:pPr>
      <w:r>
        <w:rPr>
          <w:sz w:val="12"/>
        </w:rPr>
      </w:r>
    </w:p>
    <w:p>
      <w:pPr>
        <w:pStyle w:val="eeaopen"/>
        <w:spacing w:lineRule="auto" w:line="240"/>
        <w:rPr/>
      </w:pPr>
      <w:r>
        <w:rPr/>
      </w:r>
    </w:p>
    <w:p>
      <w:pPr>
        <w:pStyle w:val="eeaopen"/>
        <w:spacing w:lineRule="auto" w:line="240"/>
        <w:rPr/>
      </w:pPr>
      <w:r>
        <w:rPr/>
        <w:t xml:space="preserve">Without storage, both production deliverability and pipeline capacity in the U.S. and Canada would need to be greatly increased to meet peak winter demand.  As a result, storage provides a significant amount of incremental value to the natural gas industry.  However, the use of storage also can carry economic risks to storage users.  Warmer than expected weather can cause natural gas prices to fall below the purchased price of the gas in storage, or result in supply imbalances requiring withdrawals in order to avoid contractual penalties for holding excess gas in storage.  The amount of gas in storage is also one of the major factors influencing short-term gas prices.  Hence, storage capacity and usage is a major concern for the overall gas market. </w:t>
      </w:r>
    </w:p>
    <w:p>
      <w:pPr>
        <w:pStyle w:val="eeaopen"/>
        <w:spacing w:lineRule="auto" w:line="240"/>
        <w:rPr/>
      </w:pPr>
      <w:r>
        <w:rPr/>
      </w:r>
    </w:p>
    <w:p>
      <w:pPr>
        <w:pStyle w:val="eeaopen"/>
        <w:spacing w:lineRule="auto" w:line="240"/>
        <w:rPr/>
      </w:pPr>
      <w:r>
        <w:rPr/>
        <w:t>Recent changes in the market for natural gas are changing the role and economics of natural gas storage.  The development of market hubs has increased the importance of strategically located storage fields, and expanded the types of services made available by storage providers.  Changes in pipeline rate structures, and the increase in importance of pipeline capacity discounting and capacity release have changed the economics of many storage facilities.  In addition, the change in natural gas demand mix, particularly the growth in gas demand for electric generation, has changed the overall load factor of natural gas demand, with a significant impact on storage requirements.</w:t>
      </w:r>
    </w:p>
    <w:p>
      <w:pPr>
        <w:pStyle w:val="eeaopen"/>
        <w:spacing w:lineRule="auto" w:line="240"/>
        <w:rPr/>
      </w:pPr>
      <w:r>
        <w:rPr/>
      </w:r>
    </w:p>
    <w:p>
      <w:pPr>
        <w:pStyle w:val="eeaopen"/>
        <w:spacing w:lineRule="auto" w:line="240"/>
        <w:rPr/>
      </w:pPr>
      <w:r>
        <w:rPr/>
        <w:t>This report reviews the role of storage in the current natural gas markets, the costs and capacity of proposed storage expansion projects, and evaluates long term trends that are likely to influence the role and economics of storage in the future.</w:t>
      </w:r>
    </w:p>
    <w:p>
      <w:pPr>
        <w:pStyle w:val="eeaopen"/>
        <w:spacing w:lineRule="auto" w:line="240"/>
        <w:rPr/>
      </w:pPr>
      <w:r>
        <w:rPr/>
      </w:r>
    </w:p>
    <w:p>
      <w:pPr>
        <w:pStyle w:val="eeaopen"/>
        <w:spacing w:lineRule="auto" w:line="240"/>
        <w:rPr/>
      </w:pPr>
      <w:r>
        <w:rPr/>
      </w:r>
    </w:p>
    <w:p>
      <w:pPr>
        <w:pStyle w:val="eeaopen"/>
        <w:spacing w:lineRule="auto" w:line="240"/>
        <w:rPr>
          <w:lang w:val="en-CA" w:eastAsia="en-CA"/>
        </w:rPr>
      </w:pPr>
      <w:r>
        <w:rPr>
          <w:lang w:val="en-CA" w:eastAsia="en-CA"/>
        </w:rPr>
      </w:r>
      <w:r>
        <w:br w:type="page"/>
      </w:r>
      <w:r>
        <mc:AlternateContent>
          <mc:Choice Requires="wps">
            <w:drawing>
              <wp:anchor behindDoc="0" distT="91440" distB="91440" distL="114935" distR="114935" simplePos="0" locked="0" layoutInCell="0" allowOverlap="1" relativeHeight="42">
                <wp:simplePos x="0" y="0"/>
                <wp:positionH relativeFrom="column">
                  <wp:posOffset>-4445</wp:posOffset>
                </wp:positionH>
                <wp:positionV relativeFrom="paragraph">
                  <wp:posOffset>70485</wp:posOffset>
                </wp:positionV>
                <wp:extent cx="5861050" cy="2660650"/>
                <wp:effectExtent l="0" t="0" r="0" b="0"/>
                <wp:wrapTopAndBottom/>
                <wp:docPr id="3" name="Frame1"/>
                <a:graphic xmlns:a="http://schemas.openxmlformats.org/drawingml/2006/main">
                  <a:graphicData uri="http://schemas.microsoft.com/office/word/2010/wordprocessingShape">
                    <wps:wsp>
                      <wps:cNvSpPr txBox="1"/>
                      <wps:spPr>
                        <a:xfrm>
                          <a:off x="0" y="0"/>
                          <a:ext cx="5861050" cy="2660650"/>
                        </a:xfrm>
                        <a:prstGeom prst="rect"/>
                        <a:solidFill>
                          <a:srgbClr val="FFFFFF">
                            <a:alpha val="0"/>
                          </a:srgbClr>
                        </a:solidFill>
                        <a:ln w="9525">
                          <a:solidFill>
                            <a:srgbClr val="000000"/>
                          </a:solidFill>
                        </a:ln>
                      </wps:spPr>
                      <wps:txbx>
                        <w:txbxContent>
                          <w:tbl>
                            <w:tblPr>
                              <w:tblW w:w="8928" w:type="dxa"/>
                              <w:jc w:val="start"/>
                              <w:tblInd w:w="108" w:type="dxa"/>
                              <w:tblLayout w:type="fixed"/>
                              <w:tblCellMar>
                                <w:top w:w="0" w:type="dxa"/>
                                <w:start w:w="108" w:type="dxa"/>
                                <w:bottom w:w="0" w:type="dxa"/>
                                <w:end w:w="108" w:type="dxa"/>
                              </w:tblCellMar>
                            </w:tblPr>
                            <w:tblGrid>
                              <w:gridCol w:w="8928"/>
                            </w:tblGrid>
                            <w:tr>
                              <w:trPr>
                                <w:trHeight w:val="4037" w:hRule="atLeast"/>
                              </w:trPr>
                              <w:tc>
                                <w:tcPr>
                                  <w:tcW w:w="8928" w:type="dxa"/>
                                  <w:tcBorders>
                                    <w:top w:val="single" w:sz="4" w:space="0" w:color="000000"/>
                                    <w:start w:val="single" w:sz="4" w:space="0" w:color="000000"/>
                                    <w:bottom w:val="single" w:sz="4" w:space="0" w:color="000000"/>
                                    <w:end w:val="single" w:sz="4" w:space="0" w:color="000000"/>
                                  </w:tcBorders>
                                  <w:shd w:fill="CCCCCC" w:val="clear"/>
                                </w:tcPr>
                                <w:p>
                                  <w:pPr>
                                    <w:pStyle w:val="Heading8"/>
                                    <w:shd w:fill="D8D8D8" w:val="clear"/>
                                    <w:ind w:hanging="0" w:start="0"/>
                                    <w:rPr/>
                                  </w:pPr>
                                  <w:r>
                                    <w:rPr/>
                                    <w:t>Note on Report Units</w:t>
                                  </w:r>
                                </w:p>
                                <w:p>
                                  <w:pPr>
                                    <w:pStyle w:val="eeaopen"/>
                                    <w:shd w:fill="D8D8D8" w:val="clear"/>
                                    <w:spacing w:lineRule="auto" w:line="240"/>
                                    <w:rPr/>
                                  </w:pPr>
                                  <w:r>
                                    <w:rPr/>
                                  </w:r>
                                </w:p>
                                <w:p>
                                  <w:pPr>
                                    <w:pStyle w:val="eeaopen"/>
                                    <w:shd w:fill="D8D8D8" w:val="clear"/>
                                    <w:spacing w:lineRule="auto" w:line="240"/>
                                    <w:rPr/>
                                  </w:pPr>
                                  <w:r>
                                    <w:rPr/>
                                    <w:t xml:space="preserve">Historically, the natural gas industry has measured gas volumes using several different units.  Generally, “upstream” segments of the industry measure gas volumes in terms of thousand cubic feet (Mcf), million cubic feet (MMcf), billion cubic feet (Bcf), or trillion cubic feet (Tcf).  Downstream segments of the gas industry as well as state and federal regulators generally measure gas volumes in terms of the energy content of the gas using millions of British thermal units (MMBtus), decatherms (which have an equivalent energy content to MMBtus), or therms (10 therms = 1 Decatherm).  One Mcf is equivalent to 1.031 MMBtu based on the average heat content of delivered natural gas in 1998. </w:t>
                                  </w:r>
                                </w:p>
                                <w:p>
                                  <w:pPr>
                                    <w:pStyle w:val="eeaopen"/>
                                    <w:shd w:fill="D8D8D8" w:val="clear"/>
                                    <w:spacing w:lineRule="auto" w:line="240"/>
                                    <w:rPr/>
                                  </w:pPr>
                                  <w:r>
                                    <w:rPr/>
                                  </w:r>
                                </w:p>
                                <w:p>
                                  <w:pPr>
                                    <w:pStyle w:val="eeaopen"/>
                                    <w:shd w:fill="D8D8D8" w:val="clear"/>
                                    <w:spacing w:lineRule="auto" w:line="240"/>
                                    <w:rPr/>
                                  </w:pPr>
                                  <w:r>
                                    <w:rPr/>
                                    <w:t>Published data for storage gas volumes continue to be expressed in terms of cubic feet reflecting the physical capacity of the facility to store and deliver gas.  By contrast, FERC regulation specifies that storage contracts and tariffs express prices in dollars per Decatherm or MMBtu.  This report will express volume and price data using the relevant industry conventions.</w:t>
                                  </w:r>
                                </w:p>
                                <w:p>
                                  <w:pPr>
                                    <w:pStyle w:val="eeaopen"/>
                                    <w:shd w:fill="D8D8D8" w:val="clear"/>
                                    <w:spacing w:lineRule="auto" w:line="240"/>
                                    <w:rPr/>
                                  </w:pPr>
                                  <w:r>
                                    <w:rPr/>
                                  </w:r>
                                </w:p>
                                <w:p>
                                  <w:pPr>
                                    <w:pStyle w:val="eeaopen"/>
                                    <w:shd w:fill="D8D8D8" w:val="clear"/>
                                    <w:spacing w:lineRule="auto" w:line="240"/>
                                    <w:rPr/>
                                  </w:pPr>
                                  <w:r>
                                    <w:rPr/>
                                  </w:r>
                                </w:p>
                              </w:tc>
                            </w:tr>
                          </w:tbl>
                          <w:p>
                            <w:pPr>
                              <w:pStyle w:val="eeaopen"/>
                              <w:spacing w:lineRule="auto" w:line="24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61.5pt;height:209.5pt;mso-wrap-distance-left:9.05pt;mso-wrap-distance-right:9.05pt;mso-wrap-distance-top:7.2pt;mso-wrap-distance-bottom:7.2pt;margin-top:5.55pt;mso-position-vertical-relative:text;margin-left:-0.35pt;mso-position-horizontal-relative:text">
                <v:fill opacity="0f"/>
                <v:textbox>
                  <w:txbxContent>
                    <w:tbl>
                      <w:tblPr>
                        <w:tblW w:w="8928" w:type="dxa"/>
                        <w:jc w:val="start"/>
                        <w:tblInd w:w="108" w:type="dxa"/>
                        <w:tblLayout w:type="fixed"/>
                        <w:tblCellMar>
                          <w:top w:w="0" w:type="dxa"/>
                          <w:start w:w="108" w:type="dxa"/>
                          <w:bottom w:w="0" w:type="dxa"/>
                          <w:end w:w="108" w:type="dxa"/>
                        </w:tblCellMar>
                      </w:tblPr>
                      <w:tblGrid>
                        <w:gridCol w:w="8928"/>
                      </w:tblGrid>
                      <w:tr>
                        <w:trPr>
                          <w:trHeight w:val="4037" w:hRule="atLeast"/>
                        </w:trPr>
                        <w:tc>
                          <w:tcPr>
                            <w:tcW w:w="8928" w:type="dxa"/>
                            <w:tcBorders>
                              <w:top w:val="single" w:sz="4" w:space="0" w:color="000000"/>
                              <w:start w:val="single" w:sz="4" w:space="0" w:color="000000"/>
                              <w:bottom w:val="single" w:sz="4" w:space="0" w:color="000000"/>
                              <w:end w:val="single" w:sz="4" w:space="0" w:color="000000"/>
                            </w:tcBorders>
                            <w:shd w:fill="CCCCCC" w:val="clear"/>
                          </w:tcPr>
                          <w:p>
                            <w:pPr>
                              <w:pStyle w:val="Heading8"/>
                              <w:shd w:fill="D8D8D8" w:val="clear"/>
                              <w:ind w:hanging="0" w:start="0"/>
                              <w:rPr/>
                            </w:pPr>
                            <w:r>
                              <w:rPr/>
                              <w:t>Note on Report Units</w:t>
                            </w:r>
                          </w:p>
                          <w:p>
                            <w:pPr>
                              <w:pStyle w:val="eeaopen"/>
                              <w:shd w:fill="D8D8D8" w:val="clear"/>
                              <w:spacing w:lineRule="auto" w:line="240"/>
                              <w:rPr/>
                            </w:pPr>
                            <w:r>
                              <w:rPr/>
                            </w:r>
                          </w:p>
                          <w:p>
                            <w:pPr>
                              <w:pStyle w:val="eeaopen"/>
                              <w:shd w:fill="D8D8D8" w:val="clear"/>
                              <w:spacing w:lineRule="auto" w:line="240"/>
                              <w:rPr/>
                            </w:pPr>
                            <w:r>
                              <w:rPr/>
                              <w:t xml:space="preserve">Historically, the natural gas industry has measured gas volumes using several different units.  Generally, “upstream” segments of the industry measure gas volumes in terms of thousand cubic feet (Mcf), million cubic feet (MMcf), billion cubic feet (Bcf), or trillion cubic feet (Tcf).  Downstream segments of the gas industry as well as state and federal regulators generally measure gas volumes in terms of the energy content of the gas using millions of British thermal units (MMBtus), decatherms (which have an equivalent energy content to MMBtus), or therms (10 therms = 1 Decatherm).  One Mcf is equivalent to 1.031 MMBtu based on the average heat content of delivered natural gas in 1998. </w:t>
                            </w:r>
                          </w:p>
                          <w:p>
                            <w:pPr>
                              <w:pStyle w:val="eeaopen"/>
                              <w:shd w:fill="D8D8D8" w:val="clear"/>
                              <w:spacing w:lineRule="auto" w:line="240"/>
                              <w:rPr/>
                            </w:pPr>
                            <w:r>
                              <w:rPr/>
                            </w:r>
                          </w:p>
                          <w:p>
                            <w:pPr>
                              <w:pStyle w:val="eeaopen"/>
                              <w:shd w:fill="D8D8D8" w:val="clear"/>
                              <w:spacing w:lineRule="auto" w:line="240"/>
                              <w:rPr/>
                            </w:pPr>
                            <w:r>
                              <w:rPr/>
                              <w:t>Published data for storage gas volumes continue to be expressed in terms of cubic feet reflecting the physical capacity of the facility to store and deliver gas.  By contrast, FERC regulation specifies that storage contracts and tariffs express prices in dollars per Decatherm or MMBtu.  This report will express volume and price data using the relevant industry conventions.</w:t>
                            </w:r>
                          </w:p>
                          <w:p>
                            <w:pPr>
                              <w:pStyle w:val="eeaopen"/>
                              <w:shd w:fill="D8D8D8" w:val="clear"/>
                              <w:spacing w:lineRule="auto" w:line="240"/>
                              <w:rPr/>
                            </w:pPr>
                            <w:r>
                              <w:rPr/>
                            </w:r>
                          </w:p>
                          <w:p>
                            <w:pPr>
                              <w:pStyle w:val="eeaopen"/>
                              <w:shd w:fill="D8D8D8" w:val="clear"/>
                              <w:spacing w:lineRule="auto" w:line="240"/>
                              <w:rPr/>
                            </w:pPr>
                            <w:r>
                              <w:rPr/>
                            </w:r>
                          </w:p>
                        </w:tc>
                      </w:tr>
                    </w:tbl>
                    <w:p>
                      <w:pPr>
                        <w:pStyle w:val="eeaopen"/>
                        <w:spacing w:lineRule="auto" w:line="240"/>
                        <w:rPr/>
                      </w:pPr>
                      <w:r>
                        <w:rPr/>
                      </w:r>
                    </w:p>
                  </w:txbxContent>
                </v:textbox>
                <w10:wrap type="topAndBottom"/>
              </v:rect>
            </w:pict>
          </mc:Fallback>
        </mc:AlternateContent>
      </w:r>
    </w:p>
    <w:p>
      <w:pPr>
        <w:pStyle w:val="Heading1"/>
        <w:ind w:hanging="0" w:start="0"/>
        <w:rPr/>
      </w:pPr>
      <w:r>
        <w:rPr/>
        <w:t>2.  Market Trends Influencing Storage Use and Value</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t xml:space="preserve">Pipeline transmission and storage markets have seen a variety of changes in recent years.  The industry has moved from a system where pipelines provided bundled gas sales service to customers, to a system based on open access to unbundled transportation and storage services.  Changes affecting storage operators come from both regulatory and market forces.  The impacts of FERC Order 636, which was implemented on November 1, 1993, are still being felt in the storage industry.  Deregulation and unbundling of the electric utility and the local gas distribution sectors are occurring at both the federal and state level.  These changes, as well as changes in the demand for natural gas, have significant implications for the value of gas storage and the types of storage services desired.  This section explores three current market trends and their impacts on gas storage. </w:t>
      </w:r>
    </w:p>
    <w:p>
      <w:pPr>
        <w:pStyle w:val="eeaopen"/>
        <w:spacing w:lineRule="auto" w:line="240"/>
        <w:rPr/>
      </w:pPr>
      <w:r>
        <w:rPr/>
      </w:r>
    </w:p>
    <w:p>
      <w:pPr>
        <w:pStyle w:val="eeaopen"/>
        <w:spacing w:lineRule="auto" w:line="240"/>
        <w:rPr/>
      </w:pPr>
      <w:r>
        <w:rPr/>
      </w:r>
    </w:p>
    <w:p>
      <w:pPr>
        <w:pStyle w:val="Heading2"/>
        <w:ind w:hanging="0" w:start="0"/>
        <w:rPr/>
      </w:pPr>
      <w:r>
        <w:rPr/>
        <w:t>2.1</w:t>
        <w:tab/>
        <w:t>TREND 1:  Initial and Continuing Impacts of Pipeline Restructuring (FERC Order 636)</w:t>
      </w:r>
    </w:p>
    <w:p>
      <w:pPr>
        <w:pStyle w:val="eeaopen"/>
        <w:spacing w:lineRule="auto" w:line="240"/>
        <w:rPr/>
      </w:pPr>
      <w:r>
        <w:rPr/>
      </w:r>
    </w:p>
    <w:p>
      <w:pPr>
        <w:pStyle w:val="eeaopen"/>
        <w:spacing w:lineRule="auto" w:line="240"/>
        <w:rPr/>
      </w:pPr>
      <w:r>
        <w:rPr/>
        <w:t>FERC Order 636 has resulted in a range of market changes influencing the use and value of natural gas storage.  These changes include: the unbundling of pipeline service, a shift to straight fixed variable rate design, the development of a secondary market for storage and pipeline capacity, the growth in the importance of market hubs and gas marketers and a shift toward market-based rates for storage service.</w:t>
      </w:r>
    </w:p>
    <w:p>
      <w:pPr>
        <w:pStyle w:val="eeaopen"/>
        <w:spacing w:lineRule="auto" w:line="240"/>
        <w:rPr/>
      </w:pPr>
      <w:r>
        <w:rPr/>
      </w:r>
    </w:p>
    <w:p>
      <w:pPr>
        <w:pStyle w:val="Heading3"/>
        <w:ind w:hanging="0" w:start="0"/>
        <w:rPr/>
      </w:pPr>
      <w:r>
        <w:rPr/>
        <w:t>Unbundling of Pipeline Service</w:t>
      </w:r>
    </w:p>
    <w:p>
      <w:pPr>
        <w:pStyle w:val="eeaopen"/>
        <w:spacing w:lineRule="auto" w:line="240"/>
        <w:rPr/>
      </w:pPr>
      <w:r>
        <w:rPr/>
        <w:t>Order 636 continued the FERC trend toward unbundling pipeline services.  Due to Order 636, pipeline companies are no longer in the gas merchant business; they are primarily transporters of gas.  In 1982, interstate pipeline merchant sales represented 89 percent of total pipeline throughput; by 1994, they accounted for less than seven percent of throughput, and by 1997, interstate pipeline merchant sales accounted for less than two percent of total throughput. Pipelines were also required to separate storage and transmission services for most customers.  Pipelines were required to release most of their storage capacity to customers holding firm pipeline capacity.  This means that pipelines no longer own most of the working gas in storage.</w:t>
      </w:r>
    </w:p>
    <w:p>
      <w:pPr>
        <w:pStyle w:val="eeaopen"/>
        <w:spacing w:lineRule="auto" w:line="240"/>
        <w:rPr/>
      </w:pPr>
      <w:r>
        <w:rPr/>
      </w:r>
    </w:p>
    <w:p>
      <w:pPr>
        <w:pStyle w:val="eeaopen"/>
        <w:spacing w:lineRule="auto" w:line="240"/>
        <w:rPr/>
      </w:pPr>
      <w:r>
        <w:rPr/>
        <w:t xml:space="preserve">Pipeline owned working gas in storage decreased from 1.16 Tcf in 1982 to 0.9 Tcf in 1990, and </w:t>
      </w:r>
    </w:p>
    <w:p>
      <w:pPr>
        <w:pStyle w:val="eeaopen"/>
        <w:spacing w:lineRule="auto" w:line="240"/>
        <w:rPr/>
      </w:pPr>
      <w:r>
        <w:rPr/>
        <w:t xml:space="preserve">to about 0.1 Tcf in 1994.  Pipeline companies now retain just enough working gas to balance and maintain their systems, as well as to provide on demand no-notice transportation service. </w:t>
      </w:r>
    </w:p>
    <w:p>
      <w:pPr>
        <w:pStyle w:val="eeaopen"/>
        <w:spacing w:lineRule="auto" w:line="240"/>
        <w:rPr/>
      </w:pPr>
      <w:r>
        <w:rPr/>
      </w:r>
    </w:p>
    <w:p>
      <w:pPr>
        <w:pStyle w:val="eeaopen"/>
        <w:spacing w:lineRule="auto" w:line="240"/>
        <w:rPr/>
      </w:pPr>
      <w:r>
        <w:rPr/>
        <w:t>However, pipelines still own all the base gas held in storage, and the expenses associated with the base gas are still included in the transmission and storage charge.  Base gas increased between 1992 and 1994 due to the reclassification of some working gas to base gas.  The reclassification of working gas to base gas has been viewed by some as a way of holding extra gas in storage in case of severe storage draw down.  During the winter of 1995-96, some pipelines dipped into base gas to meet peak demands and many storage fields reported negative working gas in storage.</w:t>
      </w:r>
    </w:p>
    <w:p>
      <w:pPr>
        <w:pStyle w:val="eeaopen"/>
        <w:spacing w:lineRule="auto" w:line="240"/>
        <w:rPr/>
      </w:pPr>
      <w:r>
        <w:rPr/>
      </w:r>
    </w:p>
    <w:p>
      <w:pPr>
        <w:pStyle w:val="eeaopen"/>
        <w:spacing w:lineRule="auto" w:line="240"/>
        <w:rPr>
          <w:rFonts w:ascii="Arial" w:hAnsi="Arial" w:cs="Arial"/>
          <w:b/>
          <w:sz w:val="22"/>
          <w:u w:val="single"/>
          <w:lang w:val="en-CA" w:eastAsia="en-CA"/>
        </w:rPr>
      </w:pPr>
      <w:r>
        <w:rPr>
          <w:rFonts w:cs="Arial" w:ascii="Arial" w:hAnsi="Arial"/>
          <w:b/>
          <w:sz w:val="22"/>
          <w:u w:val="single"/>
          <w:lang w:val="en-CA" w:eastAsia="en-CA"/>
        </w:rPr>
      </w:r>
      <w:r>
        <mc:AlternateContent>
          <mc:Choice Requires="wps">
            <w:drawing>
              <wp:anchor behindDoc="0" distT="0" distB="0" distL="114935" distR="114935" simplePos="0" locked="0" layoutInCell="0" allowOverlap="1" relativeHeight="27">
                <wp:simplePos x="0" y="0"/>
                <wp:positionH relativeFrom="column">
                  <wp:posOffset>-12700</wp:posOffset>
                </wp:positionH>
                <wp:positionV relativeFrom="paragraph">
                  <wp:posOffset>170180</wp:posOffset>
                </wp:positionV>
                <wp:extent cx="5969000" cy="3500120"/>
                <wp:effectExtent l="0" t="0" r="0" b="0"/>
                <wp:wrapTopAndBottom/>
                <wp:docPr id="4" name="Frame2"/>
                <a:graphic xmlns:a="http://schemas.openxmlformats.org/drawingml/2006/main">
                  <a:graphicData uri="http://schemas.microsoft.com/office/word/2010/wordprocessingShape">
                    <wps:wsp>
                      <wps:cNvSpPr txBox="1"/>
                      <wps:spPr>
                        <a:xfrm>
                          <a:off x="0" y="0"/>
                          <a:ext cx="5969000" cy="3500120"/>
                        </a:xfrm>
                        <a:prstGeom prst="rect"/>
                        <a:solidFill>
                          <a:srgbClr val="FFFFFF">
                            <a:alpha val="0"/>
                          </a:srgbClr>
                        </a:solidFill>
                        <a:ln w="25400">
                          <a:solidFill>
                            <a:srgbClr val="000000"/>
                          </a:solidFill>
                        </a:ln>
                      </wps:spPr>
                      <wps:txbx>
                        <w:txbxContent>
                          <w:tbl>
                            <w:tblPr>
                              <w:tblW w:w="9047" w:type="dxa"/>
                              <w:jc w:val="start"/>
                              <w:tblInd w:w="108" w:type="dxa"/>
                              <w:tblLayout w:type="fixed"/>
                              <w:tblCellMar>
                                <w:top w:w="0" w:type="dxa"/>
                                <w:start w:w="108" w:type="dxa"/>
                                <w:bottom w:w="0" w:type="dxa"/>
                                <w:end w:w="108" w:type="dxa"/>
                              </w:tblCellMar>
                            </w:tblPr>
                            <w:tblGrid>
                              <w:gridCol w:w="9047"/>
                            </w:tblGrid>
                            <w:tr>
                              <w:trPr/>
                              <w:tc>
                                <w:tcPr>
                                  <w:tcW w:w="9047" w:type="dxa"/>
                                  <w:tcBorders>
                                    <w:top w:val="single" w:sz="4" w:space="0" w:color="000000"/>
                                    <w:start w:val="single" w:sz="4" w:space="0" w:color="000000"/>
                                    <w:bottom w:val="single" w:sz="4" w:space="0" w:color="000000"/>
                                    <w:end w:val="single" w:sz="4" w:space="0" w:color="000000"/>
                                  </w:tcBorders>
                                  <w:shd w:fill="CCCCCC" w:val="clear"/>
                                </w:tcPr>
                                <w:p>
                                  <w:pPr>
                                    <w:pStyle w:val="eeaopen"/>
                                    <w:spacing w:lineRule="auto" w:line="240"/>
                                    <w:jc w:val="center"/>
                                    <w:rPr>
                                      <w:b/>
                                    </w:rPr>
                                  </w:pPr>
                                  <w:r>
                                    <w:rPr>
                                      <w:b/>
                                    </w:rPr>
                                    <w:t>FERC ORDER 636</w:t>
                                  </w:r>
                                </w:p>
                                <w:p>
                                  <w:pPr>
                                    <w:pStyle w:val="eeaopen"/>
                                    <w:spacing w:lineRule="auto" w:line="240"/>
                                    <w:rPr/>
                                  </w:pPr>
                                  <w:r>
                                    <w:rPr/>
                                  </w:r>
                                </w:p>
                                <w:p>
                                  <w:pPr>
                                    <w:pStyle w:val="eeaopen"/>
                                    <w:spacing w:lineRule="auto" w:line="240"/>
                                    <w:rPr/>
                                  </w:pPr>
                                  <w:r>
                                    <w:rPr/>
                                    <w:t xml:space="preserve">Over the past 15 years, The Federal Energy Regulatory Commission (FERC) has gradually implemented regulatory policies to move from cost-based regulated rates toward market based rates.  Federal Energy Regulatory Commission (FERC) Order 636, issued on April 8, 1992 and implemented on November 1, 1993, continues the deregulation policy begun by FERC with Order 380 in 1984.  Order 636 has the following basic premises:     </w:t>
                                  </w:r>
                                </w:p>
                                <w:p>
                                  <w:pPr>
                                    <w:pStyle w:val="eeaopen"/>
                                    <w:spacing w:lineRule="auto" w:line="240"/>
                                    <w:rPr/>
                                  </w:pPr>
                                  <w:r>
                                    <w:rPr/>
                                  </w:r>
                                </w:p>
                                <w:p>
                                  <w:pPr>
                                    <w:pStyle w:val="ListBullet"/>
                                    <w:numPr>
                                      <w:ilvl w:val="0"/>
                                      <w:numId w:val="6"/>
                                    </w:numPr>
                                    <w:ind w:hanging="0" w:start="0"/>
                                    <w:rPr/>
                                  </w:pPr>
                                  <w:r>
                                    <w:rPr/>
                                    <w:t>Pipeline services must be unbundled and offered to customers on a non-discriminatory basis.</w:t>
                                  </w:r>
                                </w:p>
                                <w:p>
                                  <w:pPr>
                                    <w:pStyle w:val="ListBullet"/>
                                    <w:numPr>
                                      <w:ilvl w:val="0"/>
                                      <w:numId w:val="6"/>
                                    </w:numPr>
                                    <w:ind w:hanging="0" w:start="0"/>
                                    <w:rPr/>
                                  </w:pPr>
                                  <w:r>
                                    <w:rPr/>
                                    <w:t>Pipelines are encouraged to adopt a straight fixed-variable (SFV) rate design.  (However, the adoption of SFV rate design cannot increase revenue recovery from any customer class by more than 10 percent.)</w:t>
                                  </w:r>
                                </w:p>
                                <w:p>
                                  <w:pPr>
                                    <w:pStyle w:val="ListBullet"/>
                                    <w:numPr>
                                      <w:ilvl w:val="0"/>
                                      <w:numId w:val="6"/>
                                    </w:numPr>
                                    <w:ind w:hanging="0" w:start="0"/>
                                    <w:rPr/>
                                  </w:pPr>
                                  <w:r>
                                    <w:rPr/>
                                    <w:t>Pipelines are entitled to recover transition costs associated with conforming their services to Order 636 subject to FERC approval.  These transition costs generally did not apply to storage.</w:t>
                                  </w:r>
                                </w:p>
                                <w:p>
                                  <w:pPr>
                                    <w:pStyle w:val="ListBullet"/>
                                    <w:numPr>
                                      <w:ilvl w:val="0"/>
                                      <w:numId w:val="6"/>
                                    </w:numPr>
                                    <w:ind w:hanging="0" w:start="0"/>
                                    <w:rPr/>
                                  </w:pPr>
                                  <w:r>
                                    <w:rPr/>
                                    <w:t>Pipelines must offer no-notice transportation service to their converting service customers who request it.</w:t>
                                  </w:r>
                                </w:p>
                                <w:p>
                                  <w:pPr>
                                    <w:pStyle w:val="ListBullet"/>
                                    <w:numPr>
                                      <w:ilvl w:val="0"/>
                                      <w:numId w:val="6"/>
                                    </w:numPr>
                                    <w:ind w:hanging="0" w:start="0"/>
                                    <w:rPr/>
                                  </w:pPr>
                                  <w:r>
                                    <w:rPr/>
                                    <w:t>Pipeline companies were authorized to abandon any pipeline service contracts with terms less than one year (also referred to as pre-granted abandonment.)</w:t>
                                  </w:r>
                                </w:p>
                                <w:p>
                                  <w:pPr>
                                    <w:pStyle w:val="ListBullet"/>
                                    <w:numPr>
                                      <w:ilvl w:val="0"/>
                                      <w:numId w:val="6"/>
                                    </w:numPr>
                                    <w:ind w:hanging="0" w:start="0"/>
                                    <w:rPr/>
                                  </w:pPr>
                                  <w:r>
                                    <w:rPr/>
                                    <w:t xml:space="preserve">Pipeline companies must provide flexible receipt and delivery points and maintain electronic bulletin board (EBB) systems to facilitate the establishment of a capacity release market for firm transportation and storage rights. </w:t>
                                  </w:r>
                                </w:p>
                                <w:p>
                                  <w:pPr>
                                    <w:pStyle w:val="ListBullet"/>
                                    <w:numPr>
                                      <w:ilvl w:val="0"/>
                                      <w:numId w:val="6"/>
                                    </w:numPr>
                                    <w:ind w:hanging="0" w:start="0"/>
                                    <w:rPr/>
                                  </w:pPr>
                                  <w:r>
                                    <w:rPr/>
                                    <w:t>Pipeline companies may impose imbalance penalties on customers that do not manage their flows within acceptable daily or monthly variances.</w:t>
                                  </w:r>
                                </w:p>
                                <w:p>
                                  <w:pPr>
                                    <w:pStyle w:val="eeaopen"/>
                                    <w:spacing w:lineRule="auto" w:line="240"/>
                                    <w:rPr/>
                                  </w:pPr>
                                  <w:r>
                                    <w:rPr/>
                                  </w:r>
                                </w:p>
                              </w:tc>
                            </w:tr>
                          </w:tbl>
                          <w:p>
                            <w:pPr>
                              <w:pStyle w:val="Normal"/>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70pt;height:275.6pt;mso-wrap-distance-left:9.05pt;mso-wrap-distance-right:9.05pt;mso-wrap-distance-top:0pt;mso-wrap-distance-bottom:0pt;margin-top:13.4pt;mso-position-vertical-relative:text;margin-left:-1pt;mso-position-horizontal-relative:text">
                <v:fill opacity="0f"/>
                <v:textbox>
                  <w:txbxContent>
                    <w:tbl>
                      <w:tblPr>
                        <w:tblW w:w="9047" w:type="dxa"/>
                        <w:jc w:val="start"/>
                        <w:tblInd w:w="108" w:type="dxa"/>
                        <w:tblLayout w:type="fixed"/>
                        <w:tblCellMar>
                          <w:top w:w="0" w:type="dxa"/>
                          <w:start w:w="108" w:type="dxa"/>
                          <w:bottom w:w="0" w:type="dxa"/>
                          <w:end w:w="108" w:type="dxa"/>
                        </w:tblCellMar>
                      </w:tblPr>
                      <w:tblGrid>
                        <w:gridCol w:w="9047"/>
                      </w:tblGrid>
                      <w:tr>
                        <w:trPr/>
                        <w:tc>
                          <w:tcPr>
                            <w:tcW w:w="9047" w:type="dxa"/>
                            <w:tcBorders>
                              <w:top w:val="single" w:sz="4" w:space="0" w:color="000000"/>
                              <w:start w:val="single" w:sz="4" w:space="0" w:color="000000"/>
                              <w:bottom w:val="single" w:sz="4" w:space="0" w:color="000000"/>
                              <w:end w:val="single" w:sz="4" w:space="0" w:color="000000"/>
                            </w:tcBorders>
                            <w:shd w:fill="CCCCCC" w:val="clear"/>
                          </w:tcPr>
                          <w:p>
                            <w:pPr>
                              <w:pStyle w:val="eeaopen"/>
                              <w:spacing w:lineRule="auto" w:line="240"/>
                              <w:jc w:val="center"/>
                              <w:rPr>
                                <w:b/>
                              </w:rPr>
                            </w:pPr>
                            <w:r>
                              <w:rPr>
                                <w:b/>
                              </w:rPr>
                              <w:t>FERC ORDER 636</w:t>
                            </w:r>
                          </w:p>
                          <w:p>
                            <w:pPr>
                              <w:pStyle w:val="eeaopen"/>
                              <w:spacing w:lineRule="auto" w:line="240"/>
                              <w:rPr/>
                            </w:pPr>
                            <w:r>
                              <w:rPr/>
                            </w:r>
                          </w:p>
                          <w:p>
                            <w:pPr>
                              <w:pStyle w:val="eeaopen"/>
                              <w:spacing w:lineRule="auto" w:line="240"/>
                              <w:rPr/>
                            </w:pPr>
                            <w:r>
                              <w:rPr/>
                              <w:t xml:space="preserve">Over the past 15 years, The Federal Energy Regulatory Commission (FERC) has gradually implemented regulatory policies to move from cost-based regulated rates toward market based rates.  Federal Energy Regulatory Commission (FERC) Order 636, issued on April 8, 1992 and implemented on November 1, 1993, continues the deregulation policy begun by FERC with Order 380 in 1984.  Order 636 has the following basic premises:     </w:t>
                            </w:r>
                          </w:p>
                          <w:p>
                            <w:pPr>
                              <w:pStyle w:val="eeaopen"/>
                              <w:spacing w:lineRule="auto" w:line="240"/>
                              <w:rPr/>
                            </w:pPr>
                            <w:r>
                              <w:rPr/>
                            </w:r>
                          </w:p>
                          <w:p>
                            <w:pPr>
                              <w:pStyle w:val="ListBullet"/>
                              <w:numPr>
                                <w:ilvl w:val="0"/>
                                <w:numId w:val="6"/>
                              </w:numPr>
                              <w:ind w:hanging="0" w:start="0"/>
                              <w:rPr/>
                            </w:pPr>
                            <w:r>
                              <w:rPr/>
                              <w:t>Pipeline services must be unbundled and offered to customers on a non-discriminatory basis.</w:t>
                            </w:r>
                          </w:p>
                          <w:p>
                            <w:pPr>
                              <w:pStyle w:val="ListBullet"/>
                              <w:numPr>
                                <w:ilvl w:val="0"/>
                                <w:numId w:val="6"/>
                              </w:numPr>
                              <w:ind w:hanging="0" w:start="0"/>
                              <w:rPr/>
                            </w:pPr>
                            <w:r>
                              <w:rPr/>
                              <w:t>Pipelines are encouraged to adopt a straight fixed-variable (SFV) rate design.  (However, the adoption of SFV rate design cannot increase revenue recovery from any customer class by more than 10 percent.)</w:t>
                            </w:r>
                          </w:p>
                          <w:p>
                            <w:pPr>
                              <w:pStyle w:val="ListBullet"/>
                              <w:numPr>
                                <w:ilvl w:val="0"/>
                                <w:numId w:val="6"/>
                              </w:numPr>
                              <w:ind w:hanging="0" w:start="0"/>
                              <w:rPr/>
                            </w:pPr>
                            <w:r>
                              <w:rPr/>
                              <w:t>Pipelines are entitled to recover transition costs associated with conforming their services to Order 636 subject to FERC approval.  These transition costs generally did not apply to storage.</w:t>
                            </w:r>
                          </w:p>
                          <w:p>
                            <w:pPr>
                              <w:pStyle w:val="ListBullet"/>
                              <w:numPr>
                                <w:ilvl w:val="0"/>
                                <w:numId w:val="6"/>
                              </w:numPr>
                              <w:ind w:hanging="0" w:start="0"/>
                              <w:rPr/>
                            </w:pPr>
                            <w:r>
                              <w:rPr/>
                              <w:t>Pipelines must offer no-notice transportation service to their converting service customers who request it.</w:t>
                            </w:r>
                          </w:p>
                          <w:p>
                            <w:pPr>
                              <w:pStyle w:val="ListBullet"/>
                              <w:numPr>
                                <w:ilvl w:val="0"/>
                                <w:numId w:val="6"/>
                              </w:numPr>
                              <w:ind w:hanging="0" w:start="0"/>
                              <w:rPr/>
                            </w:pPr>
                            <w:r>
                              <w:rPr/>
                              <w:t>Pipeline companies were authorized to abandon any pipeline service contracts with terms less than one year (also referred to as pre-granted abandonment.)</w:t>
                            </w:r>
                          </w:p>
                          <w:p>
                            <w:pPr>
                              <w:pStyle w:val="ListBullet"/>
                              <w:numPr>
                                <w:ilvl w:val="0"/>
                                <w:numId w:val="6"/>
                              </w:numPr>
                              <w:ind w:hanging="0" w:start="0"/>
                              <w:rPr/>
                            </w:pPr>
                            <w:r>
                              <w:rPr/>
                              <w:t xml:space="preserve">Pipeline companies must provide flexible receipt and delivery points and maintain electronic bulletin board (EBB) systems to facilitate the establishment of a capacity release market for firm transportation and storage rights. </w:t>
                            </w:r>
                          </w:p>
                          <w:p>
                            <w:pPr>
                              <w:pStyle w:val="ListBullet"/>
                              <w:numPr>
                                <w:ilvl w:val="0"/>
                                <w:numId w:val="6"/>
                              </w:numPr>
                              <w:ind w:hanging="0" w:start="0"/>
                              <w:rPr/>
                            </w:pPr>
                            <w:r>
                              <w:rPr/>
                              <w:t>Pipeline companies may impose imbalance penalties on customers that do not manage their flows within acceptable daily or monthly variances.</w:t>
                            </w:r>
                          </w:p>
                          <w:p>
                            <w:pPr>
                              <w:pStyle w:val="eeaopen"/>
                              <w:spacing w:lineRule="auto" w:line="240"/>
                              <w:rPr/>
                            </w:pPr>
                            <w:r>
                              <w:rPr/>
                            </w:r>
                          </w:p>
                        </w:tc>
                      </w:tr>
                    </w:tbl>
                    <w:p>
                      <w:pPr>
                        <w:pStyle w:val="Normal"/>
                        <w:rPr/>
                      </w:pPr>
                      <w:r>
                        <w:rPr/>
                      </w:r>
                    </w:p>
                  </w:txbxContent>
                </v:textbox>
                <w10:wrap type="topAndBottom"/>
              </v:rect>
            </w:pict>
          </mc:Fallback>
        </mc:AlternateContent>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Shift to Straight Fixed Variable Rate Design</w:t>
      </w:r>
    </w:p>
    <w:p>
      <w:pPr>
        <w:pStyle w:val="eeaopen"/>
        <w:spacing w:lineRule="auto" w:line="240"/>
        <w:rPr/>
      </w:pPr>
      <w:r>
        <w:rPr/>
        <w:t>FERC Order 636 established a strong presumption in favor of straight fixed variable (SFV) rates for interstate pipelines over any other rate design.  In response, pipelines adopted SFV rates completing a shift of FERC rate design policy away from modified fixed variable (MFV) rate design that was prevalent prior to Order 636.  Under a straight fixed variable rate design, essentially all fixed costs of gas transmission have been shifted to the demand charges paid by firm customers.  While SFV rates reduce the cost of pipeline capacity for high load factor users, the cost capacity for lower load factor users increases.</w:t>
      </w:r>
    </w:p>
    <w:p>
      <w:pPr>
        <w:pStyle w:val="eeaopen"/>
        <w:spacing w:lineRule="auto" w:line="240"/>
        <w:rPr/>
      </w:pPr>
      <w:r>
        <w:rPr/>
      </w:r>
    </w:p>
    <w:p>
      <w:pPr>
        <w:pStyle w:val="eeaopen"/>
        <w:spacing w:lineRule="auto" w:line="240"/>
        <w:rPr/>
      </w:pPr>
      <w:r>
        <w:rPr/>
        <w:t>All major pipelines have switched to a straight fixed variable (SFV) rate design.  On average, gas transmission charges under Order 636 increased by about 15 percent for low load factor (30 percent) customers and declined by about 7 percent for high load factor (90 percent) customers, while remaining about the same for average load factor (60 percent) customers.</w:t>
      </w:r>
      <w:r>
        <w:rPr>
          <w:rStyle w:val="FootnoteCharacters"/>
          <w:rStyle w:val="FootnoteReference"/>
        </w:rPr>
        <w:footnoteReference w:id="3"/>
      </w:r>
      <w:r>
        <w:rPr/>
        <w:t xml:space="preserve">  As a result, holders of firm pipeline capacity are attempting to increase capacity utilization rates on their firm transportation capacity in order to reduce total gas transmission charges.  In some areas, the value of storage has increased substantially, as gas transporters increase the use of storage, and reduce reliance on transportation capacity.  The major impact has been to promote the use and development and use of market area storage.  Both seasonal and high delivery (salt cavern) storage fields can be used to reduce the amount of pipeline capacity needed to serve low load factor loads.</w:t>
      </w:r>
    </w:p>
    <w:p>
      <w:pPr>
        <w:pStyle w:val="eeaopen"/>
        <w:spacing w:lineRule="auto" w:line="240"/>
        <w:rPr/>
      </w:pPr>
      <w:r>
        <w:rPr/>
      </w:r>
    </w:p>
    <w:p>
      <w:pPr>
        <w:pStyle w:val="Heading3"/>
        <w:ind w:hanging="0" w:start="0"/>
        <w:rPr/>
      </w:pPr>
      <w:r>
        <w:rPr/>
        <w:t>Development of the Secondary Market for Storage and Pipeline Capacity</w:t>
      </w:r>
    </w:p>
    <w:p>
      <w:pPr>
        <w:pStyle w:val="eeaopen"/>
        <w:spacing w:lineRule="auto" w:line="240"/>
        <w:rPr/>
      </w:pPr>
      <w:r>
        <w:rPr/>
        <w:t xml:space="preserve">Order 636 established a secondary market for gas transportation capacity in which holders of firm pipeline and storage capacity are allowed to sell unused capacity to other parties. By 1995, released firm pipeline capacity accounted for about 15 percent of current throughput in the lower-48 gas transmission system, and the average revenue per Mcf received for released capacity was about 13 cents per Mcf.  </w:t>
      </w:r>
    </w:p>
    <w:p>
      <w:pPr>
        <w:pStyle w:val="eeaopen"/>
        <w:spacing w:lineRule="auto" w:line="240"/>
        <w:rPr/>
      </w:pPr>
      <w:r>
        <w:rPr/>
      </w:r>
    </w:p>
    <w:p>
      <w:pPr>
        <w:pStyle w:val="Heading3"/>
        <w:ind w:hanging="0" w:start="0"/>
        <w:rPr/>
      </w:pPr>
      <w:r>
        <w:rPr/>
        <w:t xml:space="preserve">Growth in Importance of Market Hubs and Natural Gas Marketers </w:t>
      </w:r>
    </w:p>
    <w:p>
      <w:pPr>
        <w:pStyle w:val="eeaopen"/>
        <w:spacing w:lineRule="auto" w:line="240"/>
        <w:rPr/>
      </w:pPr>
      <w:r>
        <w:rPr/>
        <w:t>A sophisticated system of natural gas market hubs/market centers and natural gas marketers has evolved over the last ten years to take advantage of the implementation of open access and to replace the services previously provided by the pipelines as part of the pipeline merchant function.</w:t>
      </w:r>
    </w:p>
    <w:p>
      <w:pPr>
        <w:pStyle w:val="eeaopen"/>
        <w:spacing w:lineRule="auto" w:line="240"/>
        <w:rPr/>
      </w:pPr>
      <w:r>
        <w:rPr/>
      </w:r>
    </w:p>
    <w:p>
      <w:pPr>
        <w:pStyle w:val="eeaopen"/>
        <w:spacing w:lineRule="auto" w:line="240"/>
        <w:rPr/>
      </w:pPr>
      <w:r>
        <w:rPr/>
        <w:t>Twenty-six out of the 39 U.S. market hubs and market centers identified by the EIA as of September 1996 began operation after implementation of FERC Order 636, primarily to take advantage of the opportunities provided by the FERC Order 636 restructuring.  Storage capacity, particularly high deliverability storage, substantially increases a market hub’s flexibility to offer additional services.  More than two-thirds of the market hubs and market centers include access to underground storage.  The growth of these market hubs has been one of the driving forces in the new storage development.</w:t>
      </w:r>
    </w:p>
    <w:p>
      <w:pPr>
        <w:pStyle w:val="eeaopen"/>
        <w:spacing w:lineRule="auto" w:line="240"/>
        <w:rPr/>
      </w:pPr>
      <w:r>
        <w:rPr/>
      </w:r>
    </w:p>
    <w:p>
      <w:pPr>
        <w:pStyle w:val="Heading3"/>
        <w:ind w:hanging="0" w:start="0"/>
        <w:rPr/>
      </w:pPr>
      <w:r>
        <w:rPr/>
        <w:t>Shift Toward Market Based Rates</w:t>
      </w:r>
    </w:p>
    <w:p>
      <w:pPr>
        <w:pStyle w:val="eeaopen"/>
        <w:spacing w:lineRule="auto" w:line="240"/>
        <w:rPr/>
      </w:pPr>
      <w:r>
        <w:rPr/>
        <w:t xml:space="preserve">One of the key elements leading to the implementation of FERC Order 636 was a determination by the FERC that the markets for certain natural gas transportation services could be sufficiently strong and diversified to operate effectively and fairly without regulated rates.  The Commission established a policy to determine when market forces could be relied on to keep prices at reasonable levels and when there is an unacceptable level of market concentration.  </w:t>
      </w:r>
    </w:p>
    <w:p>
      <w:pPr>
        <w:pStyle w:val="eeaopen"/>
        <w:spacing w:lineRule="auto" w:line="240"/>
        <w:rPr/>
      </w:pPr>
      <w:r>
        <w:rPr/>
        <w:t>FERC is applying this approach to the storage market by approving market-based rates for storage facilities except when the facility owner or affiliated company has a high degree of market power.</w:t>
      </w:r>
    </w:p>
    <w:p>
      <w:pPr>
        <w:pStyle w:val="eeaopen"/>
        <w:spacing w:lineRule="auto" w:line="240"/>
        <w:rPr/>
      </w:pPr>
      <w:r>
        <w:rPr/>
      </w:r>
    </w:p>
    <w:p>
      <w:pPr>
        <w:pStyle w:val="eeaopen"/>
        <w:spacing w:lineRule="auto" w:line="240"/>
        <w:rPr/>
      </w:pPr>
      <w:r>
        <w:rPr/>
      </w:r>
    </w:p>
    <w:p>
      <w:pPr>
        <w:pStyle w:val="eeaopen"/>
        <w:spacing w:lineRule="auto" w:line="240"/>
        <w:rPr>
          <w:lang w:val="en-CA"/>
        </w:rPr>
      </w:pPr>
      <w:r>
        <w:rPr>
          <w:lang w:val="en-CA"/>
        </w:rPr>
      </w:r>
      <w:r>
        <mc:AlternateContent>
          <mc:Choice Requires="wps">
            <w:drawing>
              <wp:anchor behindDoc="0" distT="91440" distB="91440" distL="114935" distR="114935" simplePos="0" locked="0" layoutInCell="0" allowOverlap="1" relativeHeight="26">
                <wp:simplePos x="0" y="0"/>
                <wp:positionH relativeFrom="column">
                  <wp:posOffset>170180</wp:posOffset>
                </wp:positionH>
                <wp:positionV relativeFrom="page">
                  <wp:posOffset>444500</wp:posOffset>
                </wp:positionV>
                <wp:extent cx="5694680" cy="5786120"/>
                <wp:effectExtent l="0" t="0" r="0" b="0"/>
                <wp:wrapTopAndBottom/>
                <wp:docPr id="5" name="Frame3"/>
                <a:graphic xmlns:a="http://schemas.openxmlformats.org/drawingml/2006/main">
                  <a:graphicData uri="http://schemas.microsoft.com/office/word/2010/wordprocessingShape">
                    <wps:wsp>
                      <wps:cNvSpPr txBox="1"/>
                      <wps:spPr>
                        <a:xfrm>
                          <a:off x="0" y="0"/>
                          <a:ext cx="5694680" cy="5786120"/>
                        </a:xfrm>
                        <a:prstGeom prst="rect"/>
                        <a:solidFill>
                          <a:srgbClr val="FFFFFF">
                            <a:alpha val="0"/>
                          </a:srgbClr>
                        </a:solidFill>
                        <a:ln w="25400">
                          <a:solidFill>
                            <a:srgbClr val="000000"/>
                          </a:solidFill>
                        </a:ln>
                      </wps:spPr>
                      <wps:txbx>
                        <w:txbxContent>
                          <w:tbl>
                            <w:tblPr>
                              <w:tblW w:w="8615" w:type="dxa"/>
                              <w:jc w:val="start"/>
                              <w:tblInd w:w="108" w:type="dxa"/>
                              <w:tblLayout w:type="fixed"/>
                              <w:tblCellMar>
                                <w:top w:w="0" w:type="dxa"/>
                                <w:start w:w="108" w:type="dxa"/>
                                <w:bottom w:w="0" w:type="dxa"/>
                                <w:end w:w="108" w:type="dxa"/>
                              </w:tblCellMar>
                            </w:tblPr>
                            <w:tblGrid>
                              <w:gridCol w:w="8615"/>
                            </w:tblGrid>
                            <w:tr>
                              <w:trPr/>
                              <w:tc>
                                <w:tcPr>
                                  <w:tcW w:w="8615" w:type="dxa"/>
                                  <w:tcBorders>
                                    <w:top w:val="single" w:sz="4" w:space="0" w:color="000000"/>
                                    <w:start w:val="single" w:sz="4" w:space="0" w:color="000000"/>
                                    <w:bottom w:val="single" w:sz="4" w:space="0" w:color="000000"/>
                                    <w:end w:val="single" w:sz="4" w:space="0" w:color="000000"/>
                                  </w:tcBorders>
                                  <w:shd w:fill="D8D8D8" w:val="clear"/>
                                </w:tcPr>
                                <w:p>
                                  <w:pPr>
                                    <w:pStyle w:val="eeaopen"/>
                                    <w:pBdr>
                                      <w:top w:val="single" w:sz="4" w:space="1" w:color="000000"/>
                                      <w:left w:val="single" w:sz="4" w:space="4" w:color="000000"/>
                                      <w:bottom w:val="single" w:sz="4" w:space="1" w:color="000000"/>
                                      <w:right w:val="single" w:sz="4" w:space="4" w:color="000000"/>
                                    </w:pBdr>
                                    <w:shd w:fill="CCCCCC" w:val="clear"/>
                                    <w:spacing w:lineRule="auto" w:line="240"/>
                                    <w:jc w:val="center"/>
                                    <w:rPr>
                                      <w:b/>
                                    </w:rPr>
                                  </w:pPr>
                                  <w:r>
                                    <w:rPr>
                                      <w:b/>
                                    </w:rPr>
                                    <w:t>Storage Development Case Study #1</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jc w:val="center"/>
                                    <w:rPr>
                                      <w:b/>
                                    </w:rPr>
                                  </w:pPr>
                                  <w:r>
                                    <w:rPr>
                                      <w:b/>
                                    </w:rPr>
                                    <w:t>Northeast Market Area Storage After Implementation Of FERC Order 636</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The implementation of FERC Order 636 has been instrumental in stimulating storage field development in the northeast U.S.  There was almost no new storage development in this region in the fifteen years prior to FERC Order 636.  Between 1981 and 1990, no new storage fields were developed in the Northeast market area (New York, Pennsylvania, West Virginia, Maryland, Virginia, New England).  Between 1990 and 1993, only one new field was developed (The North Summit field in Pennsylvania).</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Since the implementation of FERC Order 636, Northeast storage development has been very active.  Between 1993 and 1997, Northeast storage deliverability increased by five percent, from 10.5 Bcf/d to 11 Bcf/d.  By September, 1997, 37 incremental storage projects had been proposed, with a total incremental deliverability of 2.1 Bcf/d, and a total increase in working gas capacity of 54 Bcf.  If fully implemented these projects would represent an increase in regional storage capacity of eight percent, and an increase in deliverability of 18 percent for the region.</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The increase in storage development is related to several aspects of the industry restructuring following implementation of FERC Order 636:</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1)  The change in pipeline rates from a modified fixed variable to a straight fixed variable rate structure made in response to FERC Order 636 resulted in a significant change in the economics of using storage capacity vs. pipeline capacity to meet peak demand requirements in the Northeastern U.S. gas markets.  Under straight fixed variable rates, the cost of using pipeline capacity to serve seasonal firm loads increased substantially.  The recent GRI study on the impacts of Order 636 estimates that for a sample of nine pipelines that switched from MFV to SFV rates, low load factor customer rates increased on average by 17 percent.  Individual low load factor LDC customers on specific pipelines experienced substantially greater rate impacts.  The increase in the cost of serving seasonal load using pipeline capacity has resulted in a shift from pipeline capacity to storage for part of the regions’ seasonal peaking requirements.</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2)  The unbundling of pipeline services has created a substantial secondary capacity market in the Northeast leading to the development of a number of market hubs in the region that use storage, particularly high deliverability storage, to provide regional balancing and exchange services.</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FERC approval of market based rates has increased the financial attractiveness of several new or proposed storage facilities in the region, including Seneca Lake, and Steuben Gas Storage.</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tc>
                            </w:tr>
                          </w:tbl>
                          <w:p>
                            <w:pPr>
                              <w:pStyle w:val="eeaopen"/>
                              <w:spacing w:lineRule="auto" w:line="240"/>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48.4pt;height:455.6pt;mso-wrap-distance-left:9.05pt;mso-wrap-distance-right:9.05pt;mso-wrap-distance-top:7.2pt;mso-wrap-distance-bottom:7.2pt;margin-top:35pt;mso-position-vertical-relative:page;margin-left:13.4pt;mso-position-horizontal-relative:text">
                <v:fill opacity="0f"/>
                <v:textbox>
                  <w:txbxContent>
                    <w:tbl>
                      <w:tblPr>
                        <w:tblW w:w="8615" w:type="dxa"/>
                        <w:jc w:val="start"/>
                        <w:tblInd w:w="108" w:type="dxa"/>
                        <w:tblLayout w:type="fixed"/>
                        <w:tblCellMar>
                          <w:top w:w="0" w:type="dxa"/>
                          <w:start w:w="108" w:type="dxa"/>
                          <w:bottom w:w="0" w:type="dxa"/>
                          <w:end w:w="108" w:type="dxa"/>
                        </w:tblCellMar>
                      </w:tblPr>
                      <w:tblGrid>
                        <w:gridCol w:w="8615"/>
                      </w:tblGrid>
                      <w:tr>
                        <w:trPr/>
                        <w:tc>
                          <w:tcPr>
                            <w:tcW w:w="8615" w:type="dxa"/>
                            <w:tcBorders>
                              <w:top w:val="single" w:sz="4" w:space="0" w:color="000000"/>
                              <w:start w:val="single" w:sz="4" w:space="0" w:color="000000"/>
                              <w:bottom w:val="single" w:sz="4" w:space="0" w:color="000000"/>
                              <w:end w:val="single" w:sz="4" w:space="0" w:color="000000"/>
                            </w:tcBorders>
                            <w:shd w:fill="D8D8D8" w:val="clear"/>
                          </w:tcPr>
                          <w:p>
                            <w:pPr>
                              <w:pStyle w:val="eeaopen"/>
                              <w:pBdr>
                                <w:top w:val="single" w:sz="4" w:space="1" w:color="000000"/>
                                <w:left w:val="single" w:sz="4" w:space="4" w:color="000000"/>
                                <w:bottom w:val="single" w:sz="4" w:space="1" w:color="000000"/>
                                <w:right w:val="single" w:sz="4" w:space="4" w:color="000000"/>
                              </w:pBdr>
                              <w:shd w:fill="CCCCCC" w:val="clear"/>
                              <w:spacing w:lineRule="auto" w:line="240"/>
                              <w:jc w:val="center"/>
                              <w:rPr>
                                <w:b/>
                              </w:rPr>
                            </w:pPr>
                            <w:r>
                              <w:rPr>
                                <w:b/>
                              </w:rPr>
                              <w:t>Storage Development Case Study #1</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jc w:val="center"/>
                              <w:rPr>
                                <w:b/>
                              </w:rPr>
                            </w:pPr>
                            <w:r>
                              <w:rPr>
                                <w:b/>
                              </w:rPr>
                              <w:t>Northeast Market Area Storage After Implementation Of FERC Order 636</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The implementation of FERC Order 636 has been instrumental in stimulating storage field development in the northeast U.S.  There was almost no new storage development in this region in the fifteen years prior to FERC Order 636.  Between 1981 and 1990, no new storage fields were developed in the Northeast market area (New York, Pennsylvania, West Virginia, Maryland, Virginia, New England).  Between 1990 and 1993, only one new field was developed (The North Summit field in Pennsylvania).</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Since the implementation of FERC Order 636, Northeast storage development has been very active.  Between 1993 and 1997, Northeast storage deliverability increased by five percent, from 10.5 Bcf/d to 11 Bcf/d.  By September, 1997, 37 incremental storage projects had been proposed, with a total incremental deliverability of 2.1 Bcf/d, and a total increase in working gas capacity of 54 Bcf.  If fully implemented these projects would represent an increase in regional storage capacity of eight percent, and an increase in deliverability of 18 percent for the region.</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The increase in storage development is related to several aspects of the industry restructuring following implementation of FERC Order 636:</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1)  The change in pipeline rates from a modified fixed variable to a straight fixed variable rate structure made in response to FERC Order 636 resulted in a significant change in the economics of using storage capacity vs. pipeline capacity to meet peak demand requirements in the Northeastern U.S. gas markets.  Under straight fixed variable rates, the cost of using pipeline capacity to serve seasonal firm loads increased substantially.  The recent GRI study on the impacts of Order 636 estimates that for a sample of nine pipelines that switched from MFV to SFV rates, low load factor customer rates increased on average by 17 percent.  Individual low load factor LDC customers on specific pipelines experienced substantially greater rate impacts.  The increase in the cost of serving seasonal load using pipeline capacity has resulted in a shift from pipeline capacity to storage for part of the regions’ seasonal peaking requirements.</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2)  The unbundling of pipeline services has created a substantial secondary capacity market in the Northeast leading to the development of a number of market hubs in the region that use storage, particularly high deliverability storage, to provide regional balancing and exchange services.</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t>FERC approval of market based rates has increased the financial attractiveness of several new or proposed storage facilities in the region, including Seneca Lake, and Steuben Gas Storage.</w:t>
                            </w:r>
                          </w:p>
                          <w:p>
                            <w:pPr>
                              <w:pStyle w:val="eeaopen"/>
                              <w:pBdr>
                                <w:top w:val="single" w:sz="4" w:space="1" w:color="000000"/>
                                <w:left w:val="single" w:sz="4" w:space="4" w:color="000000"/>
                                <w:bottom w:val="single" w:sz="4" w:space="1" w:color="000000"/>
                                <w:right w:val="single" w:sz="4" w:space="4" w:color="000000"/>
                              </w:pBdr>
                              <w:shd w:fill="CCCCCC" w:val="clear"/>
                              <w:spacing w:lineRule="auto" w:line="240"/>
                              <w:rPr/>
                            </w:pPr>
                            <w:r>
                              <w:rPr/>
                            </w:r>
                          </w:p>
                        </w:tc>
                      </w:tr>
                    </w:tbl>
                    <w:p>
                      <w:pPr>
                        <w:pStyle w:val="eeaopen"/>
                        <w:spacing w:lineRule="auto" w:line="240"/>
                        <w:rPr/>
                      </w:pPr>
                      <w:r>
                        <w:rPr/>
                      </w:r>
                    </w:p>
                  </w:txbxContent>
                </v:textbox>
                <w10:wrap type="topAndBottom"/>
              </v:rect>
            </w:pict>
          </mc:Fallback>
        </mc:AlternateContent>
      </w:r>
    </w:p>
    <w:p>
      <w:pPr>
        <w:pStyle w:val="eeaopen"/>
        <w:spacing w:lineRule="auto" w:line="240"/>
        <w:rPr/>
      </w:pPr>
      <w:r>
        <w:rPr/>
        <w:t>FERC has defined market power as “the ability of a seller to maintain prices above competitive levels for a significant period of time.”  For storage operators, this would include facilities where the facility owner or affiliated companies hold a dominant share of the regional storage market, as measured by the Herfindahl-Hirschman Index (HHI),</w:t>
      </w:r>
      <w:r>
        <w:rPr>
          <w:rStyle w:val="FootnoteCharacters"/>
          <w:rStyle w:val="FootnoteReference"/>
        </w:rPr>
        <w:footnoteReference w:id="4"/>
      </w:r>
      <w:r>
        <w:rPr/>
        <w:t xml:space="preserve"> or could impede their customer’s access to other storage supplies through control of pipeline access.</w:t>
      </w:r>
    </w:p>
    <w:p>
      <w:pPr>
        <w:pStyle w:val="eeaopen"/>
        <w:spacing w:lineRule="auto" w:line="240"/>
        <w:rPr/>
      </w:pPr>
      <w:r>
        <w:rPr/>
      </w:r>
    </w:p>
    <w:p>
      <w:pPr>
        <w:pStyle w:val="eeaopen"/>
        <w:spacing w:lineRule="auto" w:line="240"/>
        <w:rPr/>
      </w:pPr>
      <w:r>
        <w:rPr/>
        <w:t xml:space="preserve">Large interstate pipelines or their affiliates own most of the existing interstate storage capacity.  FERC has not, and does not appear likely to approve market based rates for these facilities due to the presence of market power by these companies.  So far, FERC has granted market-based storage rates only to relatively small facilities owned by independent companies not affiliated with any major pipeline.  </w:t>
      </w:r>
    </w:p>
    <w:p>
      <w:pPr>
        <w:pStyle w:val="eeaopen"/>
        <w:spacing w:lineRule="auto" w:line="240"/>
        <w:rPr/>
      </w:pPr>
      <w:r>
        <w:rPr/>
      </w:r>
    </w:p>
    <w:p>
      <w:pPr>
        <w:pStyle w:val="eeaopen"/>
        <w:spacing w:lineRule="auto" w:line="240"/>
        <w:rPr/>
      </w:pPr>
      <w:r>
        <w:rPr/>
        <w:t>Market based rates will mainly impact the development of new storage projects.  Market based rates for storage may increase both potential return and risk for some new fields.  This will  accentuate the differences between attractive and marginal projects.  New facilities with good economics are likely to be built more quickly under market based rates, as the returns for these facilities will be more attractive than under cost based rates.  However, market based rates will also delay or prevent the construction of more marginal facilities due to increased risk.</w:t>
      </w:r>
    </w:p>
    <w:p>
      <w:pPr>
        <w:pStyle w:val="eeaopen"/>
        <w:spacing w:lineRule="auto" w:line="240"/>
        <w:rPr/>
      </w:pPr>
      <w:r>
        <w:rPr/>
      </w:r>
    </w:p>
    <w:p>
      <w:pPr>
        <w:pStyle w:val="eeaopen"/>
        <w:spacing w:lineRule="auto" w:line="240"/>
        <w:rPr/>
      </w:pPr>
      <w:r>
        <w:rPr/>
      </w:r>
    </w:p>
    <w:p>
      <w:pPr>
        <w:pStyle w:val="Heading2"/>
        <w:numPr>
          <w:ilvl w:val="1"/>
          <w:numId w:val="7"/>
        </w:numPr>
        <w:rPr/>
      </w:pPr>
      <w:r>
        <w:rPr/>
        <w:t>TREND 2:  Increased Reliance on Natural Gas by the Power Generation Market</w:t>
      </w:r>
    </w:p>
    <w:p>
      <w:pPr>
        <w:pStyle w:val="Normal"/>
        <w:rPr/>
      </w:pPr>
      <w:r>
        <w:rPr/>
      </w:r>
    </w:p>
    <w:p>
      <w:pPr>
        <w:pStyle w:val="eeaopen"/>
        <w:spacing w:lineRule="auto" w:line="240"/>
        <w:rPr/>
      </w:pPr>
      <w:r>
        <w:rPr/>
        <w:t xml:space="preserve">In the 2000 Baseline Projection, GRI is anticipating that almost half of all growth in natural gas demand through 2015 will occur in the power generation sector.   The growth in power generation gas use is being driven by changes in natural gas generation technologies, such as highly efficient combined cycle units, in conjunction with electric utility restructuring trends that are expected to increase the value of the flexibility provided by natural gas generation. </w:t>
      </w:r>
    </w:p>
    <w:p>
      <w:pPr>
        <w:pStyle w:val="eeaopen"/>
        <w:spacing w:lineRule="auto" w:line="240"/>
        <w:rPr/>
      </w:pPr>
      <w:r>
        <w:rPr/>
      </w:r>
    </w:p>
    <w:p>
      <w:pPr>
        <w:pStyle w:val="eeaopen"/>
        <w:spacing w:lineRule="auto" w:line="240"/>
        <w:rPr/>
      </w:pPr>
      <w:r>
        <w:rPr/>
        <w:t>The key operational impacts of these trends that will influence natural gas storage use include: the greater use of natural gas in the power generation market; the development of a flexible and visible spot market for electric power; greater incentive to minimize costs and increase operational flexibility of generating stations; and increased flexibility and incentives to arbitrage between natural gas and alternative fuels to generate electricity.</w:t>
      </w:r>
    </w:p>
    <w:p>
      <w:pPr>
        <w:pStyle w:val="eeaopen"/>
        <w:spacing w:lineRule="auto" w:line="240"/>
        <w:rPr/>
      </w:pPr>
      <w:r>
        <w:rPr/>
      </w:r>
    </w:p>
    <w:p>
      <w:pPr>
        <w:pStyle w:val="eeaopen"/>
        <w:spacing w:lineRule="auto" w:line="240"/>
        <w:rPr/>
      </w:pPr>
      <w:r>
        <w:rPr/>
        <w:t xml:space="preserve">These trends are likely to increase the value of high deliverability market area storage.  The new gas fired combustion turbine electric power plants (primarily combined cycle) have higher pressure requirements and place more demands on the gas transportation system (particularly during startup periods) than the older gas fired boiler generating capacity.  The changes in the market to encourage electric power arbitrage will place a premium on generating facilities that can be cycled on and off, with little or no notice.  Where available, underground storage, located near the plant, with rapid injection and withdrawal capabilities, is often the best and cheapest method of meeting these surge requirements.  Storage may also be used to reduce the amount of firm pipeline capacity required to provide natural gas service to some generating stations.  </w:t>
      </w:r>
    </w:p>
    <w:p>
      <w:pPr>
        <w:pStyle w:val="eeaopen"/>
        <w:spacing w:lineRule="auto" w:line="240"/>
        <w:rPr/>
      </w:pPr>
      <w:r>
        <w:rPr/>
      </w:r>
    </w:p>
    <w:p>
      <w:pPr>
        <w:pStyle w:val="eeaopen"/>
        <w:spacing w:lineRule="auto" w:line="240"/>
        <w:rPr/>
      </w:pPr>
      <w:r>
        <w:rPr/>
      </w:r>
    </w:p>
    <w:p>
      <w:pPr>
        <w:pStyle w:val="Heading2"/>
        <w:ind w:hanging="0" w:start="0"/>
        <w:rPr/>
      </w:pPr>
      <w:r>
        <w:rPr/>
        <w:t>2.3</w:t>
        <w:tab/>
        <w:t>TREND 3:  Natural Gas LDC Unbundling and Restructuring</w:t>
      </w:r>
    </w:p>
    <w:p>
      <w:pPr>
        <w:pStyle w:val="eeaopen"/>
        <w:spacing w:lineRule="auto" w:line="240"/>
        <w:rPr/>
      </w:pPr>
      <w:r>
        <w:rPr/>
        <w:t>Natural Gas LDCs are proceeding with restructuring and unbundling in many states.  Most LDC unbundling activity is occurring at the state level, and different states are moving at different paces and in different directions.  LDCs have already largely unbundled sales services to large customers, and most large customers currently use LDC transportation services rather than sales services.  Most of the remaining LDC sales service is to residential and small commercial customers.</w:t>
      </w:r>
    </w:p>
    <w:p>
      <w:pPr>
        <w:pStyle w:val="eeaopen"/>
        <w:spacing w:lineRule="auto" w:line="240"/>
        <w:rPr/>
      </w:pPr>
      <w:r>
        <w:rPr/>
      </w:r>
    </w:p>
    <w:p>
      <w:pPr>
        <w:pStyle w:val="eeaopen"/>
        <w:spacing w:lineRule="auto" w:line="240"/>
        <w:rPr/>
      </w:pPr>
      <w:r>
        <w:rPr/>
        <w:t>According to a recent GAO report,</w:t>
      </w:r>
      <w:r>
        <w:rPr>
          <w:rStyle w:val="FootnoteCharacters"/>
          <w:rStyle w:val="FootnoteReference"/>
        </w:rPr>
        <w:footnoteReference w:id="5"/>
      </w:r>
      <w:r>
        <w:rPr/>
        <w:t xml:space="preserve"> 16 states currently have customer choice programs for residential and small commercial users.  The participation rate in these programs has tended to be low.  Less than four percent of eligible residential customers and about 11 percent of eligible small commercial customers are participating in these programs.  However, there were two residential programs and one small commercial program with 100 percent participation, although these programs limited the number of eligible participants to less than 20 percent of the total number of customers in the utility’s service area.  </w:t>
      </w:r>
    </w:p>
    <w:p>
      <w:pPr>
        <w:pStyle w:val="eeaopen"/>
        <w:spacing w:lineRule="auto" w:line="240"/>
        <w:rPr/>
      </w:pPr>
      <w:r>
        <w:rPr/>
      </w:r>
    </w:p>
    <w:p>
      <w:pPr>
        <w:pStyle w:val="eeaopen"/>
        <w:spacing w:lineRule="auto" w:line="240"/>
        <w:rPr/>
      </w:pPr>
      <w:r>
        <w:rPr/>
        <w:t>Currently, most LDCs pass through gas costs directly to their sales customers, and do not earn a profit on the gas merchant element of their service.  When gas costs are lower than forecasts, the benefits are generally returned to customers.  When gas costs are higher than forecast, the extra costs are usually passed on to customers, although LDCs are often at risk of under recovery of gas costs due to regulatory oversight and prudence reviews.  Under many state unbundling proceedings, LDCs are getting out of the merchant function altogether.  Where this occurs, the gas merchant function will become a competitive service provided by gas marketers, including unregulated affiliates of the existing LDCs.  However, LDCs will continue to be responsible for system balancing requirements and, under many unbundling plans, they will also continue to have the obligation to serve as the supplier of last resort.</w:t>
      </w:r>
    </w:p>
    <w:p>
      <w:pPr>
        <w:pStyle w:val="eeaopen"/>
        <w:spacing w:lineRule="auto" w:line="240"/>
        <w:rPr/>
      </w:pPr>
      <w:r>
        <w:rPr/>
      </w:r>
    </w:p>
    <w:p>
      <w:pPr>
        <w:pStyle w:val="Heading3"/>
        <w:ind w:hanging="0" w:start="0"/>
        <w:rPr/>
      </w:pPr>
      <w:r>
        <w:rPr/>
        <w:t>Implications of LDC Restructuring On Storage Markets</w:t>
      </w:r>
    </w:p>
    <w:p>
      <w:pPr>
        <w:pStyle w:val="eeaopen"/>
        <w:spacing w:lineRule="auto" w:line="240"/>
        <w:rPr/>
      </w:pPr>
      <w:r>
        <w:rPr/>
        <w:t xml:space="preserve">The deregulation of the gas distribution sector directly impacts the main holders of storage capacity, traditional local distribution companies with cost-of-service rates.  The LDCs are responding to restructuring in a number of ways, including reducing the amount of storage capacity they hold.  In some state deregulation proceedings, the LDCs will be able to assign their current transportation and storage capacity to marketers.  In either case, storage operators will no longer be selling the majority of their capacity to LDCs with cost-based rates.  Storage operators will be selling more capacity to marketers, who do not have guaranteed cost recovery and are therefore more price sensitive and less inclined to sign long-term contracts.  </w:t>
      </w:r>
    </w:p>
    <w:p>
      <w:pPr>
        <w:pStyle w:val="eeaopen"/>
        <w:spacing w:lineRule="auto" w:line="240"/>
        <w:rPr/>
      </w:pPr>
      <w:r>
        <w:rPr/>
      </w:r>
    </w:p>
    <w:p>
      <w:pPr>
        <w:pStyle w:val="eeaopen"/>
        <w:spacing w:lineRule="auto" w:line="240"/>
        <w:rPr/>
      </w:pPr>
      <w:r>
        <w:rPr/>
        <w:t>To the extent that LDCs move out of the merchant function, much of the existing pipeline and storage capacity contracts held by LDCs will be transferred to marketers.  The costs of storage and pipeline capacity retained to provide balancing services and to meet requirements as the supplier of last resort will be rolled into the LDC transportation rates.  LDCs owning their own storage are likely to become storage providers for the gas marketers serving the LDCs customers.</w:t>
      </w:r>
    </w:p>
    <w:p>
      <w:pPr>
        <w:pStyle w:val="eeaopen"/>
        <w:spacing w:lineRule="auto" w:line="240"/>
        <w:rPr/>
      </w:pPr>
      <w:r>
        <w:rPr/>
      </w:r>
    </w:p>
    <w:p>
      <w:pPr>
        <w:pStyle w:val="Normal"/>
        <w:rPr/>
      </w:pPr>
      <w:r>
        <w:rPr/>
        <w:t>At least initially, there will be many more entities holding the rights to pipeline and LDC storage.  The increase in diversity of storage holders is likely to decrease the integration of storage operations, and therefore, decrease the efficiency of storage use.  However, the holders of storage are more likely to have a direct profit motive to maximize the value of the storage, hence we expect to see new storage services being offered, and more effective use of existing storage facilities in order to increase profitability.</w:t>
      </w:r>
    </w:p>
    <w:p>
      <w:pPr>
        <w:pStyle w:val="Normal"/>
        <w:rPr/>
      </w:pPr>
      <w:r>
        <w:rPr/>
      </w:r>
    </w:p>
    <w:p>
      <w:pPr>
        <w:pStyle w:val="Normal"/>
        <w:rPr/>
      </w:pPr>
      <w:r>
        <w:rPr/>
      </w:r>
    </w:p>
    <w:p>
      <w:pPr>
        <w:pStyle w:val="Normal"/>
        <w:rPr/>
      </w:pPr>
      <w:r>
        <w:rPr/>
      </w:r>
    </w:p>
    <w:p>
      <w:pPr>
        <w:pStyle w:val="Heading1"/>
        <w:ind w:hanging="0" w:start="0"/>
        <w:rPr/>
      </w:pPr>
      <w:r>
        <w:rPr/>
        <w:t>3.  Review of Existing Storage Capacity and Historic Use Patterns</w:t>
      </w:r>
    </w:p>
    <w:p>
      <w:pPr>
        <w:pStyle w:val="eeaopen"/>
        <w:spacing w:lineRule="auto" w:line="240"/>
        <w:rPr/>
      </w:pPr>
      <w:r>
        <w:rPr/>
      </w:r>
    </w:p>
    <w:p>
      <w:pPr>
        <w:pStyle w:val="eeaopen"/>
        <w:spacing w:lineRule="auto" w:line="240"/>
        <w:rPr/>
      </w:pPr>
      <w:r>
        <w:rPr/>
      </w:r>
    </w:p>
    <w:p>
      <w:pPr>
        <w:pStyle w:val="Heading2"/>
        <w:numPr>
          <w:ilvl w:val="1"/>
          <w:numId w:val="5"/>
        </w:numPr>
        <w:rPr/>
      </w:pPr>
      <w:r>
        <w:rPr/>
        <w:t>Types of Storage Facilities</w:t>
      </w:r>
    </w:p>
    <w:p>
      <w:pPr>
        <w:pStyle w:val="Normal"/>
        <w:rPr/>
      </w:pPr>
      <w:r>
        <w:rPr/>
      </w:r>
    </w:p>
    <w:p>
      <w:pPr>
        <w:pStyle w:val="eeaopen"/>
        <w:spacing w:lineRule="auto" w:line="240"/>
        <w:rPr/>
      </w:pPr>
      <w:r>
        <w:rPr/>
        <w:t>There are four main types of gas storage facilities: depleted fields, aquifers, salt caverns, and liquefied natural gas (LNG).  Each type of storage has distinct characteristics and cycling capabilities and can be used to satisfy different storage needs.</w:t>
      </w:r>
    </w:p>
    <w:p>
      <w:pPr>
        <w:pStyle w:val="eeaopen"/>
        <w:spacing w:lineRule="auto" w:line="240"/>
        <w:rPr/>
      </w:pPr>
      <w:r>
        <w:rPr/>
      </w:r>
    </w:p>
    <w:p>
      <w:pPr>
        <w:pStyle w:val="eeaopen"/>
        <w:spacing w:lineRule="auto" w:line="240"/>
        <w:rPr>
          <w:lang w:val="en-CA" w:eastAsia="en-CA"/>
        </w:rPr>
      </w:pPr>
      <w:r>
        <w:rPr>
          <w:lang w:val="en-CA" w:eastAsia="en-CA"/>
        </w:rPr>
      </w:r>
      <w:r>
        <mc:AlternateContent>
          <mc:Choice Requires="wps">
            <w:drawing>
              <wp:anchor behindDoc="0" distT="0" distB="0" distL="114935" distR="114935" simplePos="0" locked="0" layoutInCell="0" allowOverlap="1" relativeHeight="23">
                <wp:simplePos x="0" y="0"/>
                <wp:positionH relativeFrom="column">
                  <wp:posOffset>-117475</wp:posOffset>
                </wp:positionH>
                <wp:positionV relativeFrom="paragraph">
                  <wp:posOffset>172720</wp:posOffset>
                </wp:positionV>
                <wp:extent cx="6177280" cy="2891790"/>
                <wp:effectExtent l="0" t="0" r="0" b="0"/>
                <wp:wrapTopAndBottom/>
                <wp:docPr id="6" name="Frame4"/>
                <a:graphic xmlns:a="http://schemas.openxmlformats.org/drawingml/2006/main">
                  <a:graphicData uri="http://schemas.microsoft.com/office/word/2010/wordprocessingShape">
                    <wps:wsp>
                      <wps:cNvSpPr txBox="1"/>
                      <wps:spPr>
                        <a:xfrm>
                          <a:off x="0" y="0"/>
                          <a:ext cx="6177280" cy="2891790"/>
                        </a:xfrm>
                        <a:prstGeom prst="rect"/>
                        <a:solidFill>
                          <a:srgbClr val="FFFFFF">
                            <a:alpha val="0"/>
                          </a:srgbClr>
                        </a:solidFill>
                        <a:ln w="25400">
                          <a:solidFill>
                            <a:srgbClr val="000000"/>
                          </a:solidFill>
                        </a:ln>
                      </wps:spPr>
                      <wps:txbx>
                        <w:txbxContent>
                          <w:tbl>
                            <w:tblPr>
                              <w:tblW w:w="9375" w:type="dxa"/>
                              <w:jc w:val="start"/>
                              <w:tblInd w:w="108" w:type="dxa"/>
                              <w:tblLayout w:type="fixed"/>
                              <w:tblCellMar>
                                <w:top w:w="0" w:type="dxa"/>
                                <w:start w:w="108" w:type="dxa"/>
                                <w:bottom w:w="0" w:type="dxa"/>
                                <w:end w:w="108" w:type="dxa"/>
                              </w:tblCellMar>
                            </w:tblPr>
                            <w:tblGrid>
                              <w:gridCol w:w="9375"/>
                            </w:tblGrid>
                            <w:tr>
                              <w:trPr/>
                              <w:tc>
                                <w:tcPr>
                                  <w:tcW w:w="9375" w:type="dxa"/>
                                  <w:tcBorders>
                                    <w:top w:val="single" w:sz="4" w:space="0" w:color="000000"/>
                                    <w:start w:val="single" w:sz="4" w:space="0" w:color="000000"/>
                                    <w:bottom w:val="single" w:sz="4" w:space="0" w:color="000000"/>
                                    <w:end w:val="single" w:sz="4" w:space="0" w:color="000000"/>
                                  </w:tcBorders>
                                  <w:shd w:fill="D8D8D8" w:val="clear"/>
                                </w:tcPr>
                                <w:p>
                                  <w:pPr>
                                    <w:pStyle w:val="Normal"/>
                                    <w:ind w:end="9"/>
                                    <w:rPr>
                                      <w:b/>
                                    </w:rPr>
                                  </w:pPr>
                                  <w:r>
                                    <w:rPr>
                                      <w:b/>
                                    </w:rPr>
                                    <w:t>ALTERNATIVE MEASURES OF STORAGE CAPACITY</w:t>
                                  </w:r>
                                </w:p>
                                <w:p>
                                  <w:pPr>
                                    <w:pStyle w:val="Normal"/>
                                    <w:ind w:end="9"/>
                                    <w:rPr>
                                      <w:b/>
                                    </w:rPr>
                                  </w:pPr>
                                  <w:r>
                                    <w:rPr>
                                      <w:b/>
                                    </w:rPr>
                                  </w:r>
                                </w:p>
                                <w:p>
                                  <w:pPr>
                                    <w:pStyle w:val="Normal"/>
                                    <w:ind w:end="9"/>
                                    <w:rPr>
                                      <w:b/>
                                    </w:rPr>
                                  </w:pPr>
                                  <w:r>
                                    <w:rPr/>
                                    <w:t>There are four main measures of storage capacity:</w:t>
                                  </w:r>
                                </w:p>
                                <w:p>
                                  <w:pPr>
                                    <w:pStyle w:val="Normal"/>
                                    <w:ind w:end="9"/>
                                    <w:rPr>
                                      <w:b/>
                                    </w:rPr>
                                  </w:pPr>
                                  <w:r>
                                    <w:rPr>
                                      <w:b/>
                                    </w:rPr>
                                  </w:r>
                                </w:p>
                                <w:p>
                                  <w:pPr>
                                    <w:pStyle w:val="Normal"/>
                                    <w:ind w:end="9"/>
                                    <w:rPr/>
                                  </w:pPr>
                                  <w:r>
                                    <w:rPr>
                                      <w:b/>
                                    </w:rPr>
                                    <w:t>Working Gas</w:t>
                                  </w:r>
                                  <w:r>
                                    <w:rPr/>
                                    <w:t xml:space="preserve"> - Working gas capacity is the total amount of gas that can be injected into a storage facility that will be available for delivery at a later date.</w:t>
                                  </w:r>
                                </w:p>
                                <w:p>
                                  <w:pPr>
                                    <w:pStyle w:val="Normal"/>
                                    <w:ind w:end="9"/>
                                    <w:rPr/>
                                  </w:pPr>
                                  <w:r>
                                    <w:rPr/>
                                  </w:r>
                                </w:p>
                                <w:p>
                                  <w:pPr>
                                    <w:pStyle w:val="Normal"/>
                                    <w:ind w:end="9"/>
                                    <w:rPr/>
                                  </w:pPr>
                                  <w:r>
                                    <w:rPr>
                                      <w:b/>
                                    </w:rPr>
                                    <w:t>Base Gas</w:t>
                                  </w:r>
                                  <w:r>
                                    <w:rPr/>
                                    <w:t xml:space="preserve"> - Base gas, also known as cushion gas, is gas that must be permanently injected into storage in order to maintain adequate reservoir pressure required to maintain deliverability.  In depleted fields, the base gas may include some native gas that was not produced.  In some fields, base gas may be withdrawn in emergency situations.</w:t>
                                  </w:r>
                                </w:p>
                                <w:p>
                                  <w:pPr>
                                    <w:pStyle w:val="Normal"/>
                                    <w:ind w:end="9"/>
                                    <w:rPr/>
                                  </w:pPr>
                                  <w:r>
                                    <w:rPr/>
                                  </w:r>
                                </w:p>
                                <w:p>
                                  <w:pPr>
                                    <w:pStyle w:val="Normal"/>
                                    <w:ind w:end="9"/>
                                    <w:rPr/>
                                  </w:pPr>
                                  <w:r>
                                    <w:rPr>
                                      <w:b/>
                                    </w:rPr>
                                    <w:t>Deliverability</w:t>
                                  </w:r>
                                  <w:r>
                                    <w:rPr/>
                                    <w:t xml:space="preserve"> - Deliverability is the total amount of gas that can be withdrawn from the storage field in one day at a given wellhead pressure.  Since, deliverability declines as the total volume of gas and reservoir pressure falls, storage providers will contract firm capacity for only a fraction of the peak deliverability.</w:t>
                                  </w:r>
                                </w:p>
                                <w:p>
                                  <w:pPr>
                                    <w:pStyle w:val="Normal"/>
                                    <w:ind w:end="9"/>
                                    <w:rPr/>
                                  </w:pPr>
                                  <w:r>
                                    <w:rPr/>
                                  </w:r>
                                </w:p>
                                <w:p>
                                  <w:pPr>
                                    <w:pStyle w:val="Normal"/>
                                    <w:ind w:end="9"/>
                                    <w:rPr/>
                                  </w:pPr>
                                  <w:r>
                                    <w:rPr>
                                      <w:b/>
                                    </w:rPr>
                                    <w:t>Injection Rate</w:t>
                                  </w:r>
                                  <w:r>
                                    <w:rPr/>
                                    <w:t xml:space="preserve"> - The injection or fill rate is the rate at which gas can be added into storage in a single day.  The maximum injection rate declines as storage volume and reservoir pressure increases.</w:t>
                                  </w:r>
                                </w:p>
                              </w:tc>
                            </w:tr>
                          </w:tbl>
                          <w:p>
                            <w:pPr>
                              <w:pStyle w:val="Normal"/>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86.4pt;height:227.7pt;mso-wrap-distance-left:9.05pt;mso-wrap-distance-right:9.05pt;mso-wrap-distance-top:0pt;mso-wrap-distance-bottom:0pt;margin-top:13.6pt;mso-position-vertical-relative:text;margin-left:-9.25pt;mso-position-horizontal-relative:text">
                <v:fill opacity="0f"/>
                <v:textbox>
                  <w:txbxContent>
                    <w:tbl>
                      <w:tblPr>
                        <w:tblW w:w="9375" w:type="dxa"/>
                        <w:jc w:val="start"/>
                        <w:tblInd w:w="108" w:type="dxa"/>
                        <w:tblLayout w:type="fixed"/>
                        <w:tblCellMar>
                          <w:top w:w="0" w:type="dxa"/>
                          <w:start w:w="108" w:type="dxa"/>
                          <w:bottom w:w="0" w:type="dxa"/>
                          <w:end w:w="108" w:type="dxa"/>
                        </w:tblCellMar>
                      </w:tblPr>
                      <w:tblGrid>
                        <w:gridCol w:w="9375"/>
                      </w:tblGrid>
                      <w:tr>
                        <w:trPr/>
                        <w:tc>
                          <w:tcPr>
                            <w:tcW w:w="9375" w:type="dxa"/>
                            <w:tcBorders>
                              <w:top w:val="single" w:sz="4" w:space="0" w:color="000000"/>
                              <w:start w:val="single" w:sz="4" w:space="0" w:color="000000"/>
                              <w:bottom w:val="single" w:sz="4" w:space="0" w:color="000000"/>
                              <w:end w:val="single" w:sz="4" w:space="0" w:color="000000"/>
                            </w:tcBorders>
                            <w:shd w:fill="D8D8D8" w:val="clear"/>
                          </w:tcPr>
                          <w:p>
                            <w:pPr>
                              <w:pStyle w:val="Normal"/>
                              <w:ind w:end="9"/>
                              <w:rPr>
                                <w:b/>
                              </w:rPr>
                            </w:pPr>
                            <w:r>
                              <w:rPr>
                                <w:b/>
                              </w:rPr>
                              <w:t>ALTERNATIVE MEASURES OF STORAGE CAPACITY</w:t>
                            </w:r>
                          </w:p>
                          <w:p>
                            <w:pPr>
                              <w:pStyle w:val="Normal"/>
                              <w:ind w:end="9"/>
                              <w:rPr>
                                <w:b/>
                              </w:rPr>
                            </w:pPr>
                            <w:r>
                              <w:rPr>
                                <w:b/>
                              </w:rPr>
                            </w:r>
                          </w:p>
                          <w:p>
                            <w:pPr>
                              <w:pStyle w:val="Normal"/>
                              <w:ind w:end="9"/>
                              <w:rPr>
                                <w:b/>
                              </w:rPr>
                            </w:pPr>
                            <w:r>
                              <w:rPr/>
                              <w:t>There are four main measures of storage capacity:</w:t>
                            </w:r>
                          </w:p>
                          <w:p>
                            <w:pPr>
                              <w:pStyle w:val="Normal"/>
                              <w:ind w:end="9"/>
                              <w:rPr>
                                <w:b/>
                              </w:rPr>
                            </w:pPr>
                            <w:r>
                              <w:rPr>
                                <w:b/>
                              </w:rPr>
                            </w:r>
                          </w:p>
                          <w:p>
                            <w:pPr>
                              <w:pStyle w:val="Normal"/>
                              <w:ind w:end="9"/>
                              <w:rPr/>
                            </w:pPr>
                            <w:r>
                              <w:rPr>
                                <w:b/>
                              </w:rPr>
                              <w:t>Working Gas</w:t>
                            </w:r>
                            <w:r>
                              <w:rPr/>
                              <w:t xml:space="preserve"> - Working gas capacity is the total amount of gas that can be injected into a storage facility that will be available for delivery at a later date.</w:t>
                            </w:r>
                          </w:p>
                          <w:p>
                            <w:pPr>
                              <w:pStyle w:val="Normal"/>
                              <w:ind w:end="9"/>
                              <w:rPr/>
                            </w:pPr>
                            <w:r>
                              <w:rPr/>
                            </w:r>
                          </w:p>
                          <w:p>
                            <w:pPr>
                              <w:pStyle w:val="Normal"/>
                              <w:ind w:end="9"/>
                              <w:rPr/>
                            </w:pPr>
                            <w:r>
                              <w:rPr>
                                <w:b/>
                              </w:rPr>
                              <w:t>Base Gas</w:t>
                            </w:r>
                            <w:r>
                              <w:rPr/>
                              <w:t xml:space="preserve"> - Base gas, also known as cushion gas, is gas that must be permanently injected into storage in order to maintain adequate reservoir pressure required to maintain deliverability.  In depleted fields, the base gas may include some native gas that was not produced.  In some fields, base gas may be withdrawn in emergency situations.</w:t>
                            </w:r>
                          </w:p>
                          <w:p>
                            <w:pPr>
                              <w:pStyle w:val="Normal"/>
                              <w:ind w:end="9"/>
                              <w:rPr/>
                            </w:pPr>
                            <w:r>
                              <w:rPr/>
                            </w:r>
                          </w:p>
                          <w:p>
                            <w:pPr>
                              <w:pStyle w:val="Normal"/>
                              <w:ind w:end="9"/>
                              <w:rPr/>
                            </w:pPr>
                            <w:r>
                              <w:rPr>
                                <w:b/>
                              </w:rPr>
                              <w:t>Deliverability</w:t>
                            </w:r>
                            <w:r>
                              <w:rPr/>
                              <w:t xml:space="preserve"> - Deliverability is the total amount of gas that can be withdrawn from the storage field in one day at a given wellhead pressure.  Since, deliverability declines as the total volume of gas and reservoir pressure falls, storage providers will contract firm capacity for only a fraction of the peak deliverability.</w:t>
                            </w:r>
                          </w:p>
                          <w:p>
                            <w:pPr>
                              <w:pStyle w:val="Normal"/>
                              <w:ind w:end="9"/>
                              <w:rPr/>
                            </w:pPr>
                            <w:r>
                              <w:rPr/>
                            </w:r>
                          </w:p>
                          <w:p>
                            <w:pPr>
                              <w:pStyle w:val="Normal"/>
                              <w:ind w:end="9"/>
                              <w:rPr/>
                            </w:pPr>
                            <w:r>
                              <w:rPr>
                                <w:b/>
                              </w:rPr>
                              <w:t>Injection Rate</w:t>
                            </w:r>
                            <w:r>
                              <w:rPr/>
                              <w:t xml:space="preserve"> - The injection or fill rate is the rate at which gas can be added into storage in a single day.  The maximum injection rate declines as storage volume and reservoir pressure increases.</w:t>
                            </w:r>
                          </w:p>
                        </w:tc>
                      </w:tr>
                    </w:tbl>
                    <w:p>
                      <w:pPr>
                        <w:pStyle w:val="Normal"/>
                        <w:rPr/>
                      </w:pPr>
                      <w:r>
                        <w:rPr/>
                      </w:r>
                    </w:p>
                  </w:txbxContent>
                </v:textbox>
                <w10:wrap type="topAndBottom"/>
              </v:rect>
            </w:pict>
          </mc:Fallback>
        </mc:AlternateContent>
      </w:r>
    </w:p>
    <w:p>
      <w:pPr>
        <w:pStyle w:val="eeaopen"/>
        <w:spacing w:lineRule="auto" w:line="240" w:before="0" w:after="120"/>
        <w:rPr>
          <w:rFonts w:ascii="Arial" w:hAnsi="Arial" w:cs="Arial"/>
          <w:b/>
        </w:rPr>
      </w:pPr>
      <w:r>
        <w:rPr>
          <w:rFonts w:cs="Arial" w:ascii="Arial" w:hAnsi="Arial"/>
          <w:b/>
        </w:rPr>
      </w:r>
    </w:p>
    <w:p>
      <w:pPr>
        <w:pStyle w:val="eeaopen"/>
        <w:spacing w:lineRule="auto" w:line="240" w:before="0" w:after="120"/>
        <w:rPr>
          <w:rFonts w:ascii="Arial" w:hAnsi="Arial" w:cs="Arial"/>
          <w:b/>
        </w:rPr>
      </w:pPr>
      <w:r>
        <w:rPr>
          <w:rFonts w:cs="Arial" w:ascii="Arial" w:hAnsi="Arial"/>
          <w:b/>
        </w:rPr>
      </w:r>
    </w:p>
    <w:p>
      <w:pPr>
        <w:pStyle w:val="Heading3"/>
        <w:ind w:hanging="0" w:start="0"/>
        <w:rPr/>
      </w:pPr>
      <w:r>
        <w:rPr/>
        <w:t>Depleted Fields</w:t>
      </w:r>
    </w:p>
    <w:p>
      <w:pPr>
        <w:pStyle w:val="eeaopen"/>
        <w:spacing w:lineRule="auto" w:line="240"/>
        <w:rPr/>
      </w:pPr>
      <w:r>
        <w:rPr/>
        <w:t xml:space="preserve">Depleted field storage facilities are old oil &amp; gas fields that have been converted to storage use.  Depleted field storage facilities generally consist of one or more injection/withdrawal wells, a compressor, field pipelines and metering and dehydration facilities.  Depleted fields tend to be less expensive to develop relative to other types of storage since the existing production wells and gathering lines can often be converted for use in the storage field.  Also, the remaining native gas left in the reservoir before conversion can be used as base gas, minimizing the cost of injecting additional base gas.   </w:t>
      </w:r>
    </w:p>
    <w:p>
      <w:pPr>
        <w:pStyle w:val="eeaopen"/>
        <w:spacing w:lineRule="auto" w:line="240"/>
        <w:rPr/>
      </w:pPr>
      <w:r>
        <w:rPr/>
      </w:r>
    </w:p>
    <w:p>
      <w:pPr>
        <w:pStyle w:val="eeaopen"/>
        <w:spacing w:lineRule="auto" w:line="240"/>
        <w:rPr/>
      </w:pPr>
      <w:r>
        <w:rPr/>
        <w:t xml:space="preserve">Total storage capacity is determined by the geology of the field, both in terms of the total volume of space and the maximum pressure that gas can be injected into the field without causing damage to the geologic formation.  The maximum injection and withdrawal rates are dependent on the total number of injection/withdrawal wells and amount of available compression, as well as the field’s geology.  A storage field with high porosity and permeability will have a much higher storage capacity and deliverability than field of similar size and facilities with less favorable geology.  The use of  horizontal drilling can improve the capacity of storage field injection/withdrawal wells, increasing deliverability.  </w:t>
      </w:r>
    </w:p>
    <w:p>
      <w:pPr>
        <w:pStyle w:val="eeaopen"/>
        <w:spacing w:lineRule="auto" w:line="240"/>
        <w:rPr/>
      </w:pPr>
      <w:r>
        <w:rPr/>
      </w:r>
    </w:p>
    <w:p>
      <w:pPr>
        <w:pStyle w:val="eeaopen"/>
        <w:spacing w:lineRule="auto" w:line="240"/>
        <w:rPr/>
      </w:pPr>
      <w:r>
        <w:rPr/>
        <w:t>Typically, depleted fields have large working gas capacity relative to deliverability and are used primarily for seasonal storage.  However, depleted fields with high deliverability can also be used for peaking storage.  While, most depleted fields can only be cycled, or filled and drawn down, once a season, some depleted fields are capable of multiple cycles in a year.</w:t>
      </w:r>
    </w:p>
    <w:p>
      <w:pPr>
        <w:pStyle w:val="eeaopen"/>
        <w:spacing w:lineRule="auto" w:line="240"/>
        <w:rPr/>
      </w:pPr>
      <w:r>
        <w:rPr/>
      </w:r>
    </w:p>
    <w:p>
      <w:pPr>
        <w:pStyle w:val="Heading3"/>
        <w:ind w:hanging="0" w:start="0"/>
        <w:rPr/>
      </w:pPr>
      <w:r>
        <w:rPr/>
        <w:t>Aquifers</w:t>
      </w:r>
    </w:p>
    <w:p>
      <w:pPr>
        <w:pStyle w:val="eeaopen"/>
        <w:spacing w:lineRule="auto" w:line="240"/>
        <w:rPr/>
      </w:pPr>
      <w:r>
        <w:rPr/>
        <w:t xml:space="preserve">In areas that lack suitable depleted fields, natural aquifers have been used for natural gas storage.  Aquifer storage, while similar to depleted fields, is typically more expensive to develop since all of the injection/withdrawal wells must be newly drilled and new field pipelines must be installed.  Also, all of the required base gas must be injected. </w:t>
      </w:r>
    </w:p>
    <w:p>
      <w:pPr>
        <w:pStyle w:val="eeaopen"/>
        <w:spacing w:lineRule="auto" w:line="240"/>
        <w:rPr/>
      </w:pPr>
      <w:r>
        <w:rPr/>
      </w:r>
    </w:p>
    <w:p>
      <w:pPr>
        <w:pStyle w:val="eeaopen"/>
        <w:spacing w:lineRule="auto" w:line="240"/>
        <w:rPr/>
      </w:pPr>
      <w:r>
        <w:rPr/>
        <w:t xml:space="preserve">Aquifer storage fields generally require greater observation and care when injecting and withdrawing gas than depleted fields. These fields have more limited cycling capabilities, and injection and withdrawal patterns, including minimum seasonal withdrawal requirements, which must be followed in order to prevent damage to the field.  Aquifer storage facilities are heavily concentrated in the Midwest market area in Illinois, Indiana and Iowa.  </w:t>
      </w:r>
    </w:p>
    <w:p>
      <w:pPr>
        <w:pStyle w:val="eeaopen"/>
        <w:spacing w:lineRule="auto" w:line="240"/>
        <w:rPr/>
      </w:pPr>
      <w:r>
        <w:rPr/>
      </w:r>
    </w:p>
    <w:p>
      <w:pPr>
        <w:pStyle w:val="Heading3"/>
        <w:ind w:hanging="0" w:start="0"/>
        <w:rPr/>
      </w:pPr>
      <w:r>
        <w:rPr/>
        <w:t xml:space="preserve">Salt Caverns </w:t>
      </w:r>
    </w:p>
    <w:p>
      <w:pPr>
        <w:pStyle w:val="eeaopen"/>
        <w:spacing w:lineRule="auto" w:line="240"/>
        <w:rPr/>
      </w:pPr>
      <w:r>
        <w:rPr/>
        <w:t xml:space="preserve">Salt caverns are constructed in large underground salt formations.  The caverns are formed by injecting water into the salt formation to leach (dissolve) the salt.  The resulting brine is then pumped out of the cavern and is disposed of either by underground injection or by shipping it to a salt production facility.  Salt caverns require drilling one injection/withdrawal well per cavern and the installation of surface compression and pipeline facilities.  Salt cavern construction often requires one or more fresh water supply wells as well as several brine disposal wells to be drilled. </w:t>
      </w:r>
    </w:p>
    <w:p>
      <w:pPr>
        <w:pStyle w:val="eeaopen"/>
        <w:spacing w:lineRule="auto" w:line="240"/>
        <w:rPr/>
      </w:pPr>
      <w:r>
        <w:rPr/>
      </w:r>
    </w:p>
    <w:p>
      <w:pPr>
        <w:pStyle w:val="eeaopen"/>
        <w:spacing w:lineRule="auto" w:line="240"/>
        <w:rPr/>
      </w:pPr>
      <w:r>
        <w:rPr/>
        <w:t xml:space="preserve">Salt caverns have very high deliverability capacity relative to total storage volumes and are generally cycled several times a year.  Salt caverns can often be drawn down in as few as 10 days and be refilled in as little as 20 days.  In addition, salt cavern storage usage can be rapidly reversed from injection to withdrawal and back.  This makes salt caverns ideal for meeting peak demand swings and system load balancing and they are particularly valuable to electric generators for meeting summer peak cooling demand.  Salt caverns are mainly concentrated along the gulf coast, although sites have been developed in the Northeast and mid-continent and potential sites exist in the western United States.  </w:t>
      </w:r>
    </w:p>
    <w:p>
      <w:pPr>
        <w:pStyle w:val="eeaopen"/>
        <w:spacing w:lineRule="auto" w:line="240" w:before="0" w:after="120"/>
        <w:rPr>
          <w:rFonts w:ascii="Arial" w:hAnsi="Arial" w:cs="Arial"/>
          <w:b/>
        </w:rPr>
      </w:pPr>
      <w:r>
        <w:rPr>
          <w:rFonts w:cs="Arial" w:ascii="Arial" w:hAnsi="Arial"/>
          <w:b/>
        </w:rPr>
      </w:r>
    </w:p>
    <w:p>
      <w:pPr>
        <w:pStyle w:val="eeaopen"/>
        <w:spacing w:lineRule="auto" w:line="240" w:before="0" w:after="120"/>
        <w:rPr>
          <w:rFonts w:ascii="Arial" w:hAnsi="Arial" w:cs="Arial"/>
          <w:b/>
        </w:rPr>
      </w:pPr>
      <w:r>
        <w:rPr>
          <w:rFonts w:cs="Arial" w:ascii="Arial" w:hAnsi="Arial"/>
          <w:b/>
        </w:rPr>
      </w:r>
    </w:p>
    <w:p>
      <w:pPr>
        <w:pStyle w:val="Heading3"/>
        <w:ind w:hanging="0" w:start="0"/>
        <w:rPr/>
      </w:pPr>
      <w:r>
        <w:rPr/>
        <w:t>LNG</w:t>
      </w:r>
    </w:p>
    <w:p>
      <w:pPr>
        <w:pStyle w:val="eeaopen"/>
        <w:spacing w:lineRule="auto" w:line="240"/>
        <w:rPr/>
      </w:pPr>
      <w:r>
        <w:rPr/>
        <w:t>Liquefied natural gas storage facilities are the most expensive storage medium to build and operate and are generally used for peaking purposes in market areas without sufficient alternatives.  Natural gas is liquefied by cooling it to minus 253 degrees Fahrenheit and is then stored in specially insulated above ground storage tanks.  The LNG in the storage tank is kept cool by allowing some of the LNG to vaporize or “boil off.”  As long as the boil off is removed from the tank, the remaining LNG will remain in a liquid state.  The boil off may either be re-liquefied and returned to storage, or injected into the pipeline system.</w:t>
      </w:r>
    </w:p>
    <w:p>
      <w:pPr>
        <w:pStyle w:val="eeaopen"/>
        <w:spacing w:lineRule="auto" w:line="240"/>
        <w:rPr/>
      </w:pPr>
      <w:r>
        <w:rPr/>
      </w:r>
    </w:p>
    <w:p>
      <w:pPr>
        <w:pStyle w:val="eeaopen"/>
        <w:spacing w:lineRule="auto" w:line="240"/>
        <w:rPr/>
      </w:pPr>
      <w:r>
        <w:rPr/>
        <w:t>During times of peak demand, the LNG is regasified or vaporized and fed into the pipeline network.  Typically, LNG storage facilities only have about 5 to 10 days of capacity.  Liquefaction capacity is very costly and most full cycle plants, plants with liquefaction, storage and vaporization capacity, only have sufficient liquefaction capacity to fill the storage tanks once a season.  Satellite LNG facilities do not have liquefaction capability and have LNG transported to the site by truck or rail.</w:t>
      </w:r>
    </w:p>
    <w:p>
      <w:pPr>
        <w:pStyle w:val="eeaopen"/>
        <w:spacing w:lineRule="auto" w:line="240"/>
        <w:rPr/>
      </w:pPr>
      <w:r>
        <w:rPr/>
      </w:r>
    </w:p>
    <w:p>
      <w:pPr>
        <w:pStyle w:val="eeaopen"/>
        <w:spacing w:lineRule="auto" w:line="240"/>
        <w:rPr/>
      </w:pPr>
      <w:r>
        <w:rPr/>
        <w:t xml:space="preserve">LNG is also used for international exports of natural gas.  In this case, much larger “baseload” liquefaction plants are constructed and the LNG is transported in specialized LNG tankers.  Import facilities require the construction of docking, storage, vaporizing and pipeline facilities. The LNG is either vaporized and injected into the pipeline system or transported in liquid form to satellite peaking facilities.  The total cost of LNG export projects, including export facilities, tankers and import facilities, are generally several billion dollars.  The U.S. currently has two active LNG import facilities, built in the 1970’s, located in Louisiana and Massachusetts.  In addition, there are several inactive import facilities, including Cove Point in Maryland and Elba Island in Georgia.  On July 13, 1999 Southern LNG applied to the Federal Energy Regulatory Commission (FERC) to reopen the Elba Island LNG import terminal on July 13, 1999.  The reactivation project should be complete by mid-2002. </w:t>
      </w:r>
    </w:p>
    <w:p>
      <w:pPr>
        <w:pStyle w:val="eeaopen"/>
        <w:spacing w:lineRule="auto" w:line="240"/>
        <w:rPr/>
      </w:pPr>
      <w:r>
        <w:rPr/>
      </w:r>
    </w:p>
    <w:p>
      <w:pPr>
        <w:pStyle w:val="eeaopen"/>
        <w:spacing w:lineRule="auto" w:line="240"/>
        <w:rPr/>
      </w:pPr>
      <w:r>
        <w:rPr/>
        <w:t xml:space="preserve">LNG storage is highly concentrated in the Midwest, Northeast and Southeast.  Over one half of the total U.S. LNG storage capacity is located in just five states: Georgia, Indiana, Massachusetts, New Jersey and North Carolina.  </w:t>
      </w:r>
    </w:p>
    <w:p>
      <w:pPr>
        <w:pStyle w:val="eeaopen"/>
        <w:spacing w:lineRule="auto" w:line="240"/>
        <w:rPr/>
      </w:pPr>
      <w:r>
        <w:rPr/>
      </w:r>
    </w:p>
    <w:p>
      <w:pPr>
        <w:pStyle w:val="Heading3"/>
        <w:ind w:hanging="0" w:start="0"/>
        <w:rPr/>
      </w:pPr>
      <w:r>
        <w:rPr/>
        <w:t>Propane-Air</w:t>
      </w:r>
    </w:p>
    <w:p>
      <w:pPr>
        <w:pStyle w:val="eeaopen"/>
        <w:spacing w:lineRule="auto" w:line="240"/>
        <w:rPr/>
      </w:pPr>
      <w:r>
        <w:rPr/>
        <w:t xml:space="preserve">Propane-Air facilities are an alternative to LNG storage for peaking purposes.  These facilities use propane as a substitute for natural gas.  Since propane has a much higher heating content than natural gas, the propane is mixed with air before being injected into the distribution pipeline system. </w:t>
      </w:r>
    </w:p>
    <w:p>
      <w:pPr>
        <w:pStyle w:val="eeaopen"/>
        <w:spacing w:lineRule="auto" w:line="240"/>
        <w:rPr/>
      </w:pPr>
      <w:r>
        <w:rPr/>
      </w:r>
    </w:p>
    <w:p>
      <w:pPr>
        <w:pStyle w:val="eeaopen"/>
        <w:spacing w:lineRule="auto" w:line="240"/>
        <w:rPr/>
      </w:pPr>
      <w:r>
        <w:rPr/>
      </w:r>
    </w:p>
    <w:p>
      <w:pPr>
        <w:pStyle w:val="Heading2"/>
        <w:numPr>
          <w:ilvl w:val="1"/>
          <w:numId w:val="5"/>
        </w:numPr>
        <w:rPr/>
      </w:pPr>
      <w:r>
        <w:rPr/>
        <w:t>Location and Capacity of Existing Storage Facilities</w:t>
      </w:r>
    </w:p>
    <w:p>
      <w:pPr>
        <w:pStyle w:val="Normal"/>
        <w:rPr/>
      </w:pPr>
      <w:r>
        <w:rPr/>
      </w:r>
    </w:p>
    <w:p>
      <w:pPr>
        <w:pStyle w:val="eeaopen"/>
        <w:spacing w:lineRule="auto" w:line="240"/>
        <w:rPr/>
      </w:pPr>
      <w:r>
        <w:rPr/>
        <w:t xml:space="preserve">Most existing natural gas storage facilities were developed prior to gas pipeline restructuring when the interstate pipelines typically provided bundled gas sales service to LDCs.  The pipelines developed storage facilities to provide supplemental winter gas supply and to ensure system reliability.  The pipelines built storage in both producing and consuming regions.  The producing regions in the southwest and gulf coast had the advantage of containing a large number of depleted fields and salt formations suitable for conversion into storage facilities.  However, the pipeline also needed to build sufficient pipeline and storage capacity to ensure gas availability in the market regions during times of peak consumption.  Hence, the market area storage sites were particularly valuable, since additional long-haul pipeline capacity was not needed to move gas to market. </w:t>
      </w:r>
    </w:p>
    <w:p>
      <w:pPr>
        <w:pStyle w:val="eeaopen"/>
        <w:spacing w:lineRule="auto" w:line="240"/>
        <w:rPr/>
      </w:pPr>
      <w:r>
        <w:rPr/>
      </w:r>
    </w:p>
    <w:p>
      <w:pPr>
        <w:pStyle w:val="eeaopen"/>
        <w:spacing w:lineRule="auto" w:line="240"/>
        <w:rPr/>
      </w:pPr>
      <w:r>
        <w:rPr/>
        <w:t>In some regions, LDCs developed local underground storage facilities as a cheaper alternative to interstate pipeline capacity, particularly when pipeline capacity was constrained or low cost storage fields existed. LDCs such as MichCon and Consumers Gas own and operate a significant percentage of the total storage capacity in the Midwest.</w:t>
      </w:r>
    </w:p>
    <w:p>
      <w:pPr>
        <w:pStyle w:val="eeaopen"/>
        <w:spacing w:lineRule="auto" w:line="240"/>
        <w:rPr/>
      </w:pPr>
      <w:r>
        <w:rPr/>
      </w:r>
    </w:p>
    <w:p>
      <w:pPr>
        <w:pStyle w:val="eeaopen"/>
        <w:spacing w:lineRule="auto" w:line="240"/>
        <w:rPr/>
      </w:pPr>
      <w:r>
        <w:rPr/>
        <w:t>States without underground storage and relatively expensive pipeline capacity costs often rely on LNG and propane/air facilities to meet peak heating demand on the coldest days.  LNG and propane/air peaking capacity is not necessarily built in colder climates.  Georgia, North Carolina and Tennessee, three southeastern states with relatively mild winters, have almost as much LNG peaking capacity as Massachusetts, New Jersey and New York, three northeastern states with much colder winters and larger populations.  In many cases it is cheaper for the local LDCs to build LNG peaking capacity to provide extra capacity for the coldest 5 to 10 days of the year than to hold extra pipeline capacity year round.</w:t>
      </w:r>
    </w:p>
    <w:p>
      <w:pPr>
        <w:pStyle w:val="eeaopen"/>
        <w:spacing w:lineRule="auto" w:line="240"/>
        <w:rPr/>
      </w:pPr>
      <w:r>
        <w:rPr/>
      </w:r>
    </w:p>
    <w:p>
      <w:pPr>
        <w:pStyle w:val="eeaopen"/>
        <w:spacing w:lineRule="auto" w:line="240"/>
        <w:rPr/>
      </w:pPr>
      <w:r>
        <w:rPr/>
        <w:t xml:space="preserve">Exhibit 3-1 lists the EIA estimate of total storage capacity and peak day deliverability by state for each major type of storage.  There are only two states, Alaska and Arizona, without gas storage or propane/air peak shaving capacity.  Alaska has a large supply of locally produced natural gas and Arizona is served by interstate pipelines with surplus capacity.  </w:t>
      </w:r>
    </w:p>
    <w:p>
      <w:pPr>
        <w:pStyle w:val="eeaopen"/>
        <w:spacing w:lineRule="auto" w:line="240"/>
        <w:rPr/>
      </w:pPr>
      <w:r>
        <w:rPr/>
      </w:r>
    </w:p>
    <w:p>
      <w:pPr>
        <w:pStyle w:val="eeaopen"/>
        <w:spacing w:lineRule="auto" w:line="240"/>
        <w:rPr/>
      </w:pPr>
      <w:r>
        <w:rPr/>
        <w:t>The relationship between the availability of suitable underground storage sites and LNG and propane/air peaking capacity can be seen in the Midwest.   Midwestern states, such as Illinois, Michigan and Ohio, with suitable depleted oil and gas fields and aquifers that could be converted to storage fields relatively inexpensively do not have much LNG or propane/air peaking capacity.  Indiana and Minnesota, which don’t have as many suitable underground storage sites, rely more heavily on LNG and propane/air peaking as well as pipeline supplies. A map showing the location of the different types of underground storage is shown in Exhibit 3-2.</w:t>
      </w:r>
    </w:p>
    <w:p>
      <w:pPr>
        <w:pStyle w:val="eeaopen"/>
        <w:spacing w:lineRule="auto" w:line="240"/>
        <w:rPr/>
      </w:pPr>
      <w:r>
        <w:rPr/>
      </w:r>
    </w:p>
    <w:p>
      <w:pPr>
        <w:pStyle w:val="eeaopen"/>
        <w:spacing w:lineRule="auto" w:line="240"/>
        <w:rPr/>
      </w:pPr>
      <w:r>
        <w:rPr/>
        <w:t>The American Gas Association (AGA) also publishes data on underground gas storage capacity.  The difference between the EIA storage capacity survey and the AGA storage capacity survey is relatively large.  EIA reports about 3.8 Tcf of working gas capacity and 74.6 Bcfd of deliverability for the Lower 48 for an average of 51 days of storage capacity.  AGA reports just over 3.0 Tcf of working gas capacity with 67.2 Bcfd of deliverability for an average of 45 days of storage capacity.  The EIA database is probably more complete and contains 343 underground storage fields compared to 323 storage fields in the AGA database. During 1996, EIA reported total storage injections and withdrawals of about 2.9 Tcf.</w:t>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t>Exhibit 3-1</w:t>
      </w:r>
    </w:p>
    <w:p>
      <w:pPr>
        <w:pStyle w:val="eeaopen"/>
        <w:spacing w:lineRule="auto" w:line="240"/>
        <w:ind w:hanging="1350" w:start="1350" w:end="0"/>
        <w:jc w:val="center"/>
        <w:rPr>
          <w:rFonts w:ascii="Arial" w:hAnsi="Arial" w:cs="Arial"/>
          <w:b/>
        </w:rPr>
      </w:pPr>
      <w:r>
        <w:rPr>
          <w:rFonts w:cs="Arial" w:ascii="Arial" w:hAnsi="Arial"/>
          <w:b/>
        </w:rPr>
        <w:t>Total U.S. Natural Gas Storage and Peaking Capacity and Deliverability 1996</w:t>
      </w:r>
    </w:p>
    <w:p>
      <w:pPr>
        <w:pStyle w:val="eeaopen"/>
        <w:spacing w:lineRule="auto" w:line="240"/>
        <w:ind w:hanging="1350" w:start="1350" w:end="0"/>
        <w:jc w:val="center"/>
        <w:rPr>
          <w:rFonts w:ascii="Arial" w:hAnsi="Arial" w:cs="Arial"/>
          <w:b/>
        </w:rPr>
      </w:pPr>
      <w:r>
        <w:rPr>
          <w:rFonts w:cs="Arial" w:ascii="Arial" w:hAnsi="Arial"/>
          <w:b/>
        </w:rPr>
      </w:r>
    </w:p>
    <w:p>
      <w:pPr>
        <w:pStyle w:val="eeaopen"/>
        <w:numPr>
          <w:ilvl w:val="0"/>
          <w:numId w:val="0"/>
        </w:numPr>
        <w:spacing w:lineRule="auto" w:line="240"/>
        <w:ind w:hanging="1350" w:start="1350" w:end="0"/>
        <w:jc w:val="center"/>
        <w:rPr>
          <w:rFonts w:ascii="Arial" w:hAnsi="Arial" w:cs="Arial"/>
          <w:b/>
          <w:i/>
          <w:i/>
        </w:rPr>
      </w:pPr>
      <w:r>
        <w:rPr>
          <w:rFonts w:cs="Arial" w:ascii="Arial" w:hAnsi="Arial"/>
          <w:b/>
          <w:i/>
        </w:rPr>
        <w:drawing>
          <wp:anchor behindDoc="0" distT="0" distB="0" distL="114935" distR="114935" simplePos="0" locked="0" layoutInCell="0" allowOverlap="1" relativeHeight="28">
            <wp:simplePos x="0" y="0"/>
            <wp:positionH relativeFrom="column">
              <wp:posOffset>-365760</wp:posOffset>
            </wp:positionH>
            <wp:positionV relativeFrom="paragraph">
              <wp:posOffset>170180</wp:posOffset>
            </wp:positionV>
            <wp:extent cx="8961120" cy="5037455"/>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0"/>
                    <a:srcRect l="-4" t="-7" r="-4" b="-7"/>
                    <a:stretch>
                      <a:fillRect/>
                    </a:stretch>
                  </pic:blipFill>
                  <pic:spPr bwMode="auto">
                    <a:xfrm>
                      <a:off x="0" y="0"/>
                      <a:ext cx="8961120" cy="5037455"/>
                    </a:xfrm>
                    <a:prstGeom prst="rect">
                      <a:avLst/>
                    </a:prstGeom>
                    <a:noFill/>
                  </pic:spPr>
                </pic:pic>
              </a:graphicData>
            </a:graphic>
          </wp:anchor>
        </w:drawing>
      </w:r>
      <w:r>
        <w:br w:type="page"/>
      </w:r>
    </w:p>
    <w:p>
      <w:pPr>
        <w:pStyle w:val="eeaopen"/>
        <w:spacing w:lineRule="auto" w:line="240"/>
        <w:ind w:start="1350" w:end="0"/>
        <w:jc w:val="center"/>
        <w:rPr>
          <w:rFonts w:ascii="Arial" w:hAnsi="Arial" w:cs="Arial"/>
          <w:b/>
        </w:rPr>
      </w:pPr>
      <w:r>
        <w:rPr>
          <w:rFonts w:cs="Arial" w:ascii="Arial" w:hAnsi="Arial"/>
          <w:b/>
        </w:rPr>
        <w:t>Exhibit 3-1</w:t>
      </w:r>
    </w:p>
    <w:p>
      <w:pPr>
        <w:pStyle w:val="eeaopen"/>
        <w:spacing w:lineRule="auto" w:line="240"/>
        <w:ind w:hanging="1350" w:start="1350" w:end="0"/>
        <w:jc w:val="center"/>
        <w:rPr>
          <w:rFonts w:ascii="Arial" w:hAnsi="Arial" w:cs="Arial"/>
          <w:b/>
          <w:i/>
          <w:i/>
        </w:rPr>
      </w:pPr>
      <w:r>
        <w:rPr>
          <w:rFonts w:cs="Arial" w:ascii="Arial" w:hAnsi="Arial"/>
          <w:b/>
        </w:rPr>
        <w:t>Total U.S. Natural Gas Storage and Peaking Capacity and Deliverability 1996 (Continued)</w:t>
      </w:r>
    </w:p>
    <w:p>
      <w:pPr>
        <w:pStyle w:val="eeaopen"/>
        <w:spacing w:lineRule="auto" w:line="240"/>
        <w:ind w:hanging="1350" w:start="1350" w:end="0"/>
        <w:rPr>
          <w:rFonts w:ascii="Arial" w:hAnsi="Arial" w:cs="Arial"/>
          <w:b/>
          <w:i/>
          <w:i/>
          <w:lang w:val="en-CA" w:eastAsia="en-CA"/>
        </w:rPr>
      </w:pPr>
      <w:r>
        <w:rPr>
          <w:rFonts w:cs="Arial" w:ascii="Arial" w:hAnsi="Arial"/>
          <w:b/>
          <w:i/>
          <w:lang w:val="en-CA" w:eastAsia="en-CA"/>
        </w:rPr>
        <w:drawing>
          <wp:anchor behindDoc="0" distT="0" distB="0" distL="114935" distR="114935" simplePos="0" locked="0" layoutInCell="0" allowOverlap="1" relativeHeight="29">
            <wp:simplePos x="0" y="0"/>
            <wp:positionH relativeFrom="column">
              <wp:posOffset>-365760</wp:posOffset>
            </wp:positionH>
            <wp:positionV relativeFrom="paragraph">
              <wp:posOffset>182880</wp:posOffset>
            </wp:positionV>
            <wp:extent cx="8961120" cy="4781550"/>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1"/>
                    <a:srcRect l="-4" t="-8" r="-4" b="-8"/>
                    <a:stretch>
                      <a:fillRect/>
                    </a:stretch>
                  </pic:blipFill>
                  <pic:spPr bwMode="auto">
                    <a:xfrm>
                      <a:off x="0" y="0"/>
                      <a:ext cx="8961120" cy="4781550"/>
                    </a:xfrm>
                    <a:prstGeom prst="rect">
                      <a:avLst/>
                    </a:prstGeom>
                    <a:noFill/>
                  </pic:spPr>
                </pic:pic>
              </a:graphicData>
            </a:graphic>
          </wp:anchor>
        </w:drawing>
      </w:r>
    </w:p>
    <w:p>
      <w:pPr>
        <w:pStyle w:val="eeaopen"/>
        <w:spacing w:lineRule="auto" w:line="240"/>
        <w:ind w:hanging="1350" w:start="1350" w:end="0"/>
        <w:rPr>
          <w:rFonts w:ascii="Arial" w:hAnsi="Arial" w:cs="Arial"/>
          <w:b/>
          <w:i/>
          <w:i/>
        </w:rPr>
      </w:pPr>
      <w:r>
        <w:rPr>
          <w:rFonts w:cs="Arial" w:ascii="Arial" w:hAnsi="Arial"/>
          <w:b/>
          <w:i/>
        </w:rPr>
      </w:r>
    </w:p>
    <w:p>
      <w:pPr>
        <w:pStyle w:val="eeaopen"/>
        <w:spacing w:lineRule="auto" w:line="240"/>
        <w:rPr>
          <w:b/>
          <w:sz w:val="16"/>
        </w:rPr>
      </w:pPr>
      <w:r>
        <w:rPr>
          <w:b/>
          <w:sz w:val="16"/>
        </w:rPr>
        <w:t>Sources:</w:t>
      </w:r>
    </w:p>
    <w:p>
      <w:pPr>
        <w:pStyle w:val="eeaopen"/>
        <w:spacing w:lineRule="auto" w:line="240"/>
        <w:rPr>
          <w:sz w:val="16"/>
        </w:rPr>
      </w:pPr>
      <w:r>
        <w:rPr>
          <w:sz w:val="16"/>
        </w:rPr>
        <w:t>Underground Storage &amp; LNG Peaking:  EIA, “Deliverability on the Interstate Natural Gas Pipeline System”, May 1998.</w:t>
      </w:r>
    </w:p>
    <w:p>
      <w:pPr>
        <w:pStyle w:val="eeaopen"/>
        <w:spacing w:lineRule="auto" w:line="240"/>
        <w:rPr>
          <w:sz w:val="16"/>
        </w:rPr>
      </w:pPr>
      <w:r>
        <w:rPr>
          <w:sz w:val="16"/>
        </w:rPr>
        <w:t>Propane/Air Peaking:  GRI "Propane-Air Peakshaving Facilities in the United States" &amp; The New England Gas Association</w:t>
      </w:r>
      <w:r>
        <w:br w:type="page"/>
      </w:r>
    </w:p>
    <w:p>
      <w:pPr>
        <w:pStyle w:val="eeaopen"/>
        <w:spacing w:lineRule="auto" w:line="240"/>
        <w:jc w:val="center"/>
        <w:rPr>
          <w:rFonts w:ascii="Arial" w:hAnsi="Arial" w:cs="Arial"/>
          <w:b/>
        </w:rPr>
      </w:pPr>
      <w:r>
        <w:rPr>
          <w:rFonts w:cs="Arial" w:ascii="Arial" w:hAnsi="Arial"/>
          <w:b/>
        </w:rPr>
        <w:t>Exhibit 3-2</w:t>
      </w:r>
    </w:p>
    <w:p>
      <w:pPr>
        <w:pStyle w:val="eeaopen"/>
        <w:spacing w:lineRule="auto" w:line="240"/>
        <w:jc w:val="center"/>
        <w:rPr>
          <w:rFonts w:ascii="Arial" w:hAnsi="Arial" w:cs="Arial"/>
          <w:b/>
        </w:rPr>
      </w:pPr>
      <w:r>
        <w:rPr>
          <w:rFonts w:cs="Arial" w:ascii="Arial" w:hAnsi="Arial"/>
          <w:b/>
        </w:rPr>
        <w:t>Location of U.S. Storage Fields</w:t>
      </w:r>
    </w:p>
    <w:p>
      <w:pPr>
        <w:pStyle w:val="eeaopen"/>
        <w:spacing w:lineRule="auto" w:line="240"/>
        <w:rPr>
          <w:rFonts w:ascii="Arial" w:hAnsi="Arial" w:cs="Arial"/>
          <w:b/>
          <w:lang w:val="en-CA" w:eastAsia="en-CA"/>
        </w:rPr>
      </w:pPr>
      <w:r>
        <w:rPr>
          <w:rFonts w:cs="Arial" w:ascii="Arial" w:hAnsi="Arial"/>
          <w:b/>
          <w:lang w:val="en-CA" w:eastAsia="en-CA"/>
        </w:rPr>
        <w:drawing>
          <wp:anchor behindDoc="0" distT="0" distB="0" distL="114935" distR="114935" simplePos="0" locked="0" layoutInCell="0" allowOverlap="1" relativeHeight="30">
            <wp:simplePos x="0" y="0"/>
            <wp:positionH relativeFrom="column">
              <wp:posOffset>-365760</wp:posOffset>
            </wp:positionH>
            <wp:positionV relativeFrom="paragraph">
              <wp:posOffset>190500</wp:posOffset>
            </wp:positionV>
            <wp:extent cx="9052560" cy="5191760"/>
            <wp:effectExtent l="0" t="0" r="0" b="0"/>
            <wp:wrapTopAndBottom/>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12"/>
                    <a:srcRect l="-5" t="-9" r="-5" b="-9"/>
                    <a:stretch>
                      <a:fillRect/>
                    </a:stretch>
                  </pic:blipFill>
                  <pic:spPr bwMode="auto">
                    <a:xfrm>
                      <a:off x="0" y="0"/>
                      <a:ext cx="9052560" cy="5191760"/>
                    </a:xfrm>
                    <a:prstGeom prst="rect">
                      <a:avLst/>
                    </a:prstGeom>
                    <a:noFill/>
                  </pic:spPr>
                </pic:pic>
              </a:graphicData>
            </a:graphic>
          </wp:anchor>
        </w:drawing>
      </w:r>
    </w:p>
    <w:p>
      <w:pPr>
        <w:pStyle w:val="eeaopen"/>
        <w:spacing w:lineRule="auto" w:line="240"/>
        <w:rPr>
          <w:b/>
          <w:sz w:val="16"/>
        </w:rPr>
      </w:pPr>
      <w:r>
        <w:rPr>
          <w:b/>
          <w:sz w:val="16"/>
        </w:rPr>
      </w:r>
    </w:p>
    <w:p>
      <w:pPr>
        <w:pStyle w:val="eeaopen"/>
        <w:spacing w:lineRule="auto" w:line="240"/>
        <w:rPr>
          <w:sz w:val="16"/>
        </w:rPr>
      </w:pPr>
      <w:r>
        <w:rPr>
          <w:sz w:val="16"/>
        </w:rPr>
        <w:drawing>
          <wp:inline distT="0" distB="0" distL="0" distR="0">
            <wp:extent cx="866775" cy="485775"/>
            <wp:effectExtent l="0" t="0" r="0" b="0"/>
            <wp:docPr id="10" name="3-2%20lege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2%20legend" descr="" title=""/>
                    <pic:cNvPicPr>
                      <a:picLocks noChangeAspect="1" noChangeArrowheads="1"/>
                    </pic:cNvPicPr>
                  </pic:nvPicPr>
                  <pic:blipFill>
                    <a:blip r:embed="rId13"/>
                    <a:srcRect l="-42" t="-74" r="-42" b="-74"/>
                    <a:stretch>
                      <a:fillRect/>
                    </a:stretch>
                  </pic:blipFill>
                  <pic:spPr bwMode="auto">
                    <a:xfrm>
                      <a:off x="0" y="0"/>
                      <a:ext cx="866775" cy="485775"/>
                    </a:xfrm>
                    <a:prstGeom prst="rect">
                      <a:avLst/>
                    </a:prstGeom>
                    <a:noFill/>
                  </pic:spPr>
                </pic:pic>
              </a:graphicData>
            </a:graphic>
          </wp:inline>
        </w:drawing>
      </w:r>
    </w:p>
    <w:p>
      <w:pPr>
        <w:pStyle w:val="eeaopen"/>
        <w:spacing w:lineRule="auto" w:line="240"/>
        <w:rPr>
          <w:sz w:val="16"/>
        </w:rPr>
      </w:pPr>
      <w:r>
        <w:rPr>
          <w:sz w:val="16"/>
        </w:rPr>
        <w:t>Source: U.S. Energy Information Administration Gas Information System (EIAGIS)</w:t>
      </w:r>
    </w:p>
    <w:p>
      <w:pPr>
        <w:pStyle w:val="eeaopen"/>
        <w:spacing w:lineRule="auto" w:line="240"/>
        <w:rPr/>
      </w:pPr>
      <w:r>
        <w:rPr/>
      </w:r>
    </w:p>
    <w:p>
      <w:pPr>
        <w:pStyle w:val="eeaopen"/>
        <w:spacing w:lineRule="auto" w:line="240"/>
        <w:rPr/>
      </w:pPr>
      <w:r>
        <w:rPr/>
      </w:r>
    </w:p>
    <w:p>
      <w:pPr>
        <w:pStyle w:val="eeaopen"/>
        <w:spacing w:lineRule="auto" w:line="240"/>
        <w:rPr/>
      </w:pPr>
      <w:r>
        <w:rPr/>
        <w:t xml:space="preserve">Appendix A compares the differences between the EIA and AGA storage capacity and deliverability figures on a state by state basis.  In some cases, it appears that EIA overstates working gas capacity.  For example, EIA reports 207.6 Bcf of working gas capacity and 283 MMcfd of deliverability in Montana.  This works out to 734 days of storage capacity.  AGA on the other hand reports 54.2 Bcf of working gas capacity and 321 MMcfd of deliverability for a more reasonable 169 days of storage.  </w:t>
      </w:r>
    </w:p>
    <w:p>
      <w:pPr>
        <w:pStyle w:val="eeaopen"/>
        <w:spacing w:lineRule="auto" w:line="240"/>
        <w:rPr/>
      </w:pPr>
      <w:r>
        <w:rPr/>
      </w:r>
    </w:p>
    <w:p>
      <w:pPr>
        <w:pStyle w:val="eeaopen"/>
        <w:spacing w:lineRule="auto" w:line="240"/>
        <w:rPr/>
      </w:pPr>
      <w:r>
        <w:rPr/>
        <w:t xml:space="preserve">In other instances, it appears that the AGA survey understates working gas capacity.  AGA reports 61.3 Bcf of storage capacity, with an annual cycle capacity of 70.1 Bcf, and 1,204 MMcfd of deliverability in New York.  According to EIA, 1996 storage injections totaled 76.5 Bcf, with withdrawals of 63.1 Bcf.  The EIA storage survey shows 82.9 Bcf of working gas capacity and 1,094 MMcfd of deliverability.  </w:t>
      </w:r>
    </w:p>
    <w:p>
      <w:pPr>
        <w:pStyle w:val="eeaopen"/>
        <w:spacing w:lineRule="auto" w:line="240"/>
        <w:rPr/>
      </w:pPr>
      <w:r>
        <w:rPr/>
      </w:r>
    </w:p>
    <w:p>
      <w:pPr>
        <w:pStyle w:val="eeaopen"/>
        <w:spacing w:lineRule="auto" w:line="240"/>
        <w:rPr>
          <w:lang w:val="en-CA" w:eastAsia="en-CA"/>
        </w:rPr>
      </w:pPr>
      <w:r>
        <w:rPr>
          <w:lang w:val="en-CA" w:eastAsia="en-CA"/>
        </w:rPr>
      </w:r>
      <w:r>
        <mc:AlternateContent>
          <mc:Choice Requires="wps">
            <w:drawing>
              <wp:anchor behindDoc="0" distT="91440" distB="91440" distL="114935" distR="114935" simplePos="0" locked="0" layoutInCell="0" allowOverlap="1" relativeHeight="24">
                <wp:simplePos x="0" y="0"/>
                <wp:positionH relativeFrom="column">
                  <wp:posOffset>-123190</wp:posOffset>
                </wp:positionH>
                <wp:positionV relativeFrom="paragraph">
                  <wp:posOffset>170180</wp:posOffset>
                </wp:positionV>
                <wp:extent cx="6171565" cy="3408680"/>
                <wp:effectExtent l="0" t="0" r="0" b="0"/>
                <wp:wrapTopAndBottom/>
                <wp:docPr id="11" name="Frame5"/>
                <a:graphic xmlns:a="http://schemas.openxmlformats.org/drawingml/2006/main">
                  <a:graphicData uri="http://schemas.microsoft.com/office/word/2010/wordprocessingShape">
                    <wps:wsp>
                      <wps:cNvSpPr txBox="1"/>
                      <wps:spPr>
                        <a:xfrm>
                          <a:off x="0" y="0"/>
                          <a:ext cx="6171565" cy="3408680"/>
                        </a:xfrm>
                        <a:prstGeom prst="rect"/>
                        <a:solidFill>
                          <a:srgbClr val="FFFFFF">
                            <a:alpha val="0"/>
                          </a:srgbClr>
                        </a:solidFill>
                        <a:ln w="25400">
                          <a:solidFill>
                            <a:srgbClr val="000000"/>
                          </a:solidFill>
                        </a:ln>
                      </wps:spPr>
                      <wps:txbx>
                        <w:txbxContent>
                          <w:tbl>
                            <w:tblPr>
                              <w:tblW w:w="9366" w:type="dxa"/>
                              <w:jc w:val="start"/>
                              <w:tblInd w:w="108" w:type="dxa"/>
                              <w:tblLayout w:type="fixed"/>
                              <w:tblCellMar>
                                <w:top w:w="0" w:type="dxa"/>
                                <w:start w:w="108" w:type="dxa"/>
                                <w:bottom w:w="0" w:type="dxa"/>
                                <w:end w:w="108" w:type="dxa"/>
                              </w:tblCellMar>
                            </w:tblPr>
                            <w:tblGrid>
                              <w:gridCol w:w="9366"/>
                            </w:tblGrid>
                            <w:tr>
                              <w:trPr/>
                              <w:tc>
                                <w:tcPr>
                                  <w:tcW w:w="9366" w:type="dxa"/>
                                  <w:tcBorders>
                                    <w:top w:val="single" w:sz="4" w:space="0" w:color="000000"/>
                                    <w:start w:val="single" w:sz="4" w:space="0" w:color="000000"/>
                                    <w:bottom w:val="single" w:sz="4" w:space="0" w:color="000000"/>
                                    <w:end w:val="single" w:sz="4" w:space="0" w:color="000000"/>
                                  </w:tcBorders>
                                </w:tcPr>
                                <w:p>
                                  <w:pPr>
                                    <w:pStyle w:val="Heading3"/>
                                    <w:shd w:fill="D8D8D8" w:val="clear"/>
                                    <w:ind w:hanging="0" w:start="0"/>
                                    <w:rPr/>
                                  </w:pPr>
                                  <w:r>
                                    <w:rPr/>
                                    <w:t>Overview Of Storage Surveys</w:t>
                                  </w:r>
                                </w:p>
                                <w:p>
                                  <w:pPr>
                                    <w:pStyle w:val="ListBullet"/>
                                    <w:numPr>
                                      <w:ilvl w:val="0"/>
                                      <w:numId w:val="6"/>
                                    </w:numPr>
                                    <w:shd w:fill="D8D8D8" w:val="clear"/>
                                    <w:ind w:hanging="0" w:start="0"/>
                                    <w:rPr/>
                                  </w:pPr>
                                  <w:r>
                                    <w:rPr>
                                      <w:b/>
                                    </w:rPr>
                                    <w:t>EIA Form 191, Monthly Underground Gas Storage Report</w:t>
                                  </w:r>
                                  <w:r>
                                    <w:rPr/>
                                    <w:t xml:space="preserve"> - The Energy Information Administration collects natural gas storage data from about 100 storage operators on a monthly basis.  The data collected includes working and base gas in reservoirs, injections, withdrawals as well as the location, type and capacity of storage reservoirs.  The base gas, working gas and storage injections and withdrawal data is published every month on a state level basis.  Form 191 data is also used to compile and update the EIAGIS-NG Underground Gas Storage Database.  The Underground Gas Storage Database is not released to the public on a field level basis, although base gas, working gas capacity and deliverability by underground storage field type is periodically published on a state level and by field and operator type on a regional basis. </w:t>
                                  </w:r>
                                </w:p>
                                <w:p>
                                  <w:pPr>
                                    <w:pStyle w:val="ListBullet"/>
                                    <w:numPr>
                                      <w:ilvl w:val="0"/>
                                      <w:numId w:val="6"/>
                                    </w:numPr>
                                    <w:shd w:fill="D8D8D8" w:val="clear"/>
                                    <w:ind w:hanging="0" w:start="0"/>
                                    <w:rPr/>
                                  </w:pPr>
                                  <w:r>
                                    <w:rPr>
                                      <w:b/>
                                    </w:rPr>
                                    <w:t>AGA Survey of Underground Storage in the US and Canada</w:t>
                                  </w:r>
                                  <w:r>
                                    <w:rPr/>
                                    <w:t xml:space="preserve"> - The AGA Underground Storage Survey contains storage capacity on a field level.  The data published includes the field name and type, the number of injection/withdrawal wells, base gas, working gas, deliverability, undeveloped working gas capacity and the number and working gas capacities of annual storage cycles.  </w:t>
                                  </w:r>
                                </w:p>
                                <w:p>
                                  <w:pPr>
                                    <w:pStyle w:val="ListBullet"/>
                                    <w:numPr>
                                      <w:ilvl w:val="0"/>
                                      <w:numId w:val="6"/>
                                    </w:numPr>
                                    <w:shd w:fill="D8D8D8" w:val="clear"/>
                                    <w:ind w:hanging="0" w:start="0"/>
                                    <w:rPr/>
                                  </w:pPr>
                                  <w:r>
                                    <w:rPr>
                                      <w:b/>
                                    </w:rPr>
                                    <w:t>AGA Weekly Gas Storage Survey</w:t>
                                  </w:r>
                                  <w:r>
                                    <w:rPr/>
                                    <w:t xml:space="preserve"> - The American Gas Association, with the Interstate Natural Gas Association of America (INGAA), has been conducting a weekly storage survey since 1994.  The voluntary survey groups storage operators into three regions:  the producing region, the eastern consuming region and the western consuming region.  AGA calculates the percentage of total working gas capacity in storage for the survey respondents and applies the percent full value to total regional working gas capacity.  The survey is released on Wednesday with storage data for the previous Friday.  AGA publishes current working gas in storage, working gas in storage corresponding week one year ago, estimated working gas capacity and the survey sample size relative to total regional and national working gas capacity.</w:t>
                                  </w:r>
                                </w:p>
                                <w:p>
                                  <w:pPr>
                                    <w:pStyle w:val="Normal"/>
                                    <w:rPr/>
                                  </w:pPr>
                                  <w:r>
                                    <w:rPr/>
                                  </w:r>
                                </w:p>
                              </w:tc>
                            </w:tr>
                          </w:tbl>
                          <w:p>
                            <w:pPr>
                              <w:pStyle w:val="ListBullet"/>
                              <w:numPr>
                                <w:ilvl w:val="0"/>
                                <w:numId w:val="0"/>
                              </w:numPr>
                              <w:ind w:hanging="0" w:start="0"/>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85.95pt;height:268.4pt;mso-wrap-distance-left:9.05pt;mso-wrap-distance-right:9.05pt;mso-wrap-distance-top:7.2pt;mso-wrap-distance-bottom:7.2pt;margin-top:13.4pt;mso-position-vertical-relative:text;margin-left:-9.7pt;mso-position-horizontal-relative:text">
                <v:fill opacity="0f"/>
                <v:textbox>
                  <w:txbxContent>
                    <w:tbl>
                      <w:tblPr>
                        <w:tblW w:w="9366" w:type="dxa"/>
                        <w:jc w:val="start"/>
                        <w:tblInd w:w="108" w:type="dxa"/>
                        <w:tblLayout w:type="fixed"/>
                        <w:tblCellMar>
                          <w:top w:w="0" w:type="dxa"/>
                          <w:start w:w="108" w:type="dxa"/>
                          <w:bottom w:w="0" w:type="dxa"/>
                          <w:end w:w="108" w:type="dxa"/>
                        </w:tblCellMar>
                      </w:tblPr>
                      <w:tblGrid>
                        <w:gridCol w:w="9366"/>
                      </w:tblGrid>
                      <w:tr>
                        <w:trPr/>
                        <w:tc>
                          <w:tcPr>
                            <w:tcW w:w="9366" w:type="dxa"/>
                            <w:tcBorders>
                              <w:top w:val="single" w:sz="4" w:space="0" w:color="000000"/>
                              <w:start w:val="single" w:sz="4" w:space="0" w:color="000000"/>
                              <w:bottom w:val="single" w:sz="4" w:space="0" w:color="000000"/>
                              <w:end w:val="single" w:sz="4" w:space="0" w:color="000000"/>
                            </w:tcBorders>
                          </w:tcPr>
                          <w:p>
                            <w:pPr>
                              <w:pStyle w:val="Heading3"/>
                              <w:shd w:fill="D8D8D8" w:val="clear"/>
                              <w:ind w:hanging="0" w:start="0"/>
                              <w:rPr/>
                            </w:pPr>
                            <w:r>
                              <w:rPr/>
                              <w:t>Overview Of Storage Surveys</w:t>
                            </w:r>
                          </w:p>
                          <w:p>
                            <w:pPr>
                              <w:pStyle w:val="ListBullet"/>
                              <w:numPr>
                                <w:ilvl w:val="0"/>
                                <w:numId w:val="6"/>
                              </w:numPr>
                              <w:shd w:fill="D8D8D8" w:val="clear"/>
                              <w:ind w:hanging="0" w:start="0"/>
                              <w:rPr/>
                            </w:pPr>
                            <w:r>
                              <w:rPr>
                                <w:b/>
                              </w:rPr>
                              <w:t>EIA Form 191, Monthly Underground Gas Storage Report</w:t>
                            </w:r>
                            <w:r>
                              <w:rPr/>
                              <w:t xml:space="preserve"> - The Energy Information Administration collects natural gas storage data from about 100 storage operators on a monthly basis.  The data collected includes working and base gas in reservoirs, injections, withdrawals as well as the location, type and capacity of storage reservoirs.  The base gas, working gas and storage injections and withdrawal data is published every month on a state level basis.  Form 191 data is also used to compile and update the EIAGIS-NG Underground Gas Storage Database.  The Underground Gas Storage Database is not released to the public on a field level basis, although base gas, working gas capacity and deliverability by underground storage field type is periodically published on a state level and by field and operator type on a regional basis. </w:t>
                            </w:r>
                          </w:p>
                          <w:p>
                            <w:pPr>
                              <w:pStyle w:val="ListBullet"/>
                              <w:numPr>
                                <w:ilvl w:val="0"/>
                                <w:numId w:val="6"/>
                              </w:numPr>
                              <w:shd w:fill="D8D8D8" w:val="clear"/>
                              <w:ind w:hanging="0" w:start="0"/>
                              <w:rPr/>
                            </w:pPr>
                            <w:r>
                              <w:rPr>
                                <w:b/>
                              </w:rPr>
                              <w:t>AGA Survey of Underground Storage in the US and Canada</w:t>
                            </w:r>
                            <w:r>
                              <w:rPr/>
                              <w:t xml:space="preserve"> - The AGA Underground Storage Survey contains storage capacity on a field level.  The data published includes the field name and type, the number of injection/withdrawal wells, base gas, working gas, deliverability, undeveloped working gas capacity and the number and working gas capacities of annual storage cycles.  </w:t>
                            </w:r>
                          </w:p>
                          <w:p>
                            <w:pPr>
                              <w:pStyle w:val="ListBullet"/>
                              <w:numPr>
                                <w:ilvl w:val="0"/>
                                <w:numId w:val="6"/>
                              </w:numPr>
                              <w:shd w:fill="D8D8D8" w:val="clear"/>
                              <w:ind w:hanging="0" w:start="0"/>
                              <w:rPr/>
                            </w:pPr>
                            <w:r>
                              <w:rPr>
                                <w:b/>
                              </w:rPr>
                              <w:t>AGA Weekly Gas Storage Survey</w:t>
                            </w:r>
                            <w:r>
                              <w:rPr/>
                              <w:t xml:space="preserve"> - The American Gas Association, with the Interstate Natural Gas Association of America (INGAA), has been conducting a weekly storage survey since 1994.  The voluntary survey groups storage operators into three regions:  the producing region, the eastern consuming region and the western consuming region.  AGA calculates the percentage of total working gas capacity in storage for the survey respondents and applies the percent full value to total regional working gas capacity.  The survey is released on Wednesday with storage data for the previous Friday.  AGA publishes current working gas in storage, working gas in storage corresponding week one year ago, estimated working gas capacity and the survey sample size relative to total regional and national working gas capacity.</w:t>
                            </w:r>
                          </w:p>
                          <w:p>
                            <w:pPr>
                              <w:pStyle w:val="Normal"/>
                              <w:rPr/>
                            </w:pPr>
                            <w:r>
                              <w:rPr/>
                            </w:r>
                          </w:p>
                        </w:tc>
                      </w:tr>
                    </w:tbl>
                    <w:p>
                      <w:pPr>
                        <w:pStyle w:val="ListBullet"/>
                        <w:numPr>
                          <w:ilvl w:val="0"/>
                          <w:numId w:val="0"/>
                        </w:numPr>
                        <w:ind w:hanging="0" w:start="0"/>
                        <w:rPr/>
                      </w:pPr>
                      <w:r>
                        <w:rPr/>
                      </w:r>
                    </w:p>
                  </w:txbxContent>
                </v:textbox>
                <w10:wrap type="topAndBottom"/>
              </v:rect>
            </w:pict>
          </mc:Fallback>
        </mc:AlternateContent>
      </w:r>
    </w:p>
    <w:p>
      <w:pPr>
        <w:pStyle w:val="eeaopen"/>
        <w:spacing w:lineRule="auto" w:line="240"/>
        <w:rPr/>
      </w:pPr>
      <w:r>
        <w:rPr/>
      </w:r>
    </w:p>
    <w:p>
      <w:pPr>
        <w:pStyle w:val="Heading2"/>
        <w:ind w:hanging="0" w:start="0"/>
        <w:rPr/>
      </w:pPr>
      <w:r>
        <w:rPr/>
        <w:t>3.3</w:t>
        <w:tab/>
        <w:t>Storage Field Peak Day Deliverability</w:t>
      </w:r>
    </w:p>
    <w:p>
      <w:pPr>
        <w:pStyle w:val="Normal"/>
        <w:rPr/>
      </w:pPr>
      <w:r>
        <w:rPr/>
        <w:t>EIA and AGA estimates of total Lower-48 U.S. natural gas storage field deliverability are 75 and 67 Bcfd respectively.  These figures represent the sum of the non-coincidental peak deliverability reported by each individual field.  Actual useful coincident peak day deliverability is significantly lower.  Many fields share infrastructure (such as pipeline capacity) that constrains useful deliverability on any given day to less than the sum of the maximum deliverability of the individual fields.  In addition, many fields are sited in regions or locations where the full deliverability will not be required or useful on a national peak day.  For example, in the producing areas, less than half of available storage working gas capacity is used, and peak day deliverability for these fields will be commensurately lower.  Finally, the deliverability reported by the EIA may not fully reflect field degradation over time.  Actual effective storage peak day deliverability is estimated to be about 52 Bcfd.  Exhibit 3-3 compares peak day deliverability for gas production, imports, and storage to peak day demand for 1997.</w:t>
      </w:r>
    </w:p>
    <w:p>
      <w:pPr>
        <w:pStyle w:val="Normal"/>
        <w:rPr/>
      </w:pPr>
      <w:r>
        <w:rPr/>
      </w:r>
    </w:p>
    <w:p>
      <w:pPr>
        <w:pStyle w:val="FootnoteText"/>
        <w:spacing w:lineRule="auto" w:line="240"/>
        <w:rPr>
          <w:sz w:val="24"/>
        </w:rPr>
      </w:pPr>
      <w:r>
        <w:rPr>
          <w:sz w:val="24"/>
        </w:rPr>
      </w:r>
    </w:p>
    <w:p>
      <w:pPr>
        <w:pStyle w:val="EEAHead1"/>
        <w:spacing w:before="0" w:after="0"/>
        <w:jc w:val="center"/>
        <w:rPr>
          <w:rFonts w:ascii="Arial" w:hAnsi="Arial" w:cs="Arial"/>
          <w:caps w:val="false"/>
          <w:smallCaps w:val="false"/>
        </w:rPr>
      </w:pPr>
      <w:r>
        <w:rPr>
          <w:rFonts w:cs="Arial" w:ascii="Arial" w:hAnsi="Arial"/>
          <w:caps w:val="false"/>
          <w:smallCaps w:val="false"/>
        </w:rPr>
        <w:t>Exhibit 3-3</w:t>
      </w:r>
    </w:p>
    <w:p>
      <w:pPr>
        <w:pStyle w:val="EEAHead1"/>
        <w:spacing w:before="0" w:after="0"/>
        <w:jc w:val="center"/>
        <w:rPr>
          <w:rFonts w:ascii="Arial" w:hAnsi="Arial" w:cs="Arial"/>
        </w:rPr>
      </w:pPr>
      <w:r>
        <w:rPr>
          <w:rFonts w:cs="Arial" w:ascii="Arial" w:hAnsi="Arial"/>
          <w:caps w:val="false"/>
          <w:smallCaps w:val="false"/>
        </w:rPr>
        <w:t>1997 Peak Day Natural Gas Deliverability and Demand</w:t>
      </w:r>
    </w:p>
    <w:p>
      <w:pPr>
        <w:pStyle w:val="EEAHead1"/>
        <w:spacing w:before="0" w:after="0"/>
        <w:jc w:val="center"/>
        <w:rPr>
          <w:rFonts w:ascii="Arial" w:hAnsi="Arial" w:cs="Arial"/>
        </w:rPr>
      </w:pPr>
      <w:r>
        <w:rPr>
          <w:rFonts w:cs="Arial" w:ascii="Arial" w:hAnsi="Arial"/>
        </w:rPr>
      </w:r>
    </w:p>
    <w:p>
      <w:pPr>
        <w:pStyle w:val="BodyText"/>
        <w:ind w:start="1440" w:end="0"/>
        <w:jc w:val="center"/>
        <w:rPr>
          <w:lang w:val="en-CA"/>
        </w:rPr>
      </w:pPr>
      <w:bookmarkStart w:id="3" w:name="_1019045113"/>
      <w:bookmarkEnd w:id="3"/>
      <w:r>
        <w:rPr>
          <w:lang w:val="en-CA"/>
        </w:rPr>
        <w:object w:dxaOrig="7488" w:dyaOrig="5122">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74.4pt;height:256.1pt" filled="f" o:ole="">
            <v:imagedata r:id="rId15" o:title=""/>
          </v:shape>
          <o:OLEObject Type="Embed" ProgID="" ShapeID="ole_rId14" DrawAspect="Content" ObjectID="_1115189955" r:id="rId14"/>
        </w:object>
      </w:r>
    </w:p>
    <w:p>
      <w:pPr>
        <w:pStyle w:val="BodyText"/>
        <w:ind w:start="1440" w:end="0"/>
        <w:rPr>
          <w:lang w:val="en-CA"/>
        </w:rPr>
      </w:pPr>
      <w:r>
        <w:rPr>
          <w:lang w:val="en-CA"/>
        </w:rPr>
      </w:r>
    </w:p>
    <w:p>
      <w:pPr>
        <w:pStyle w:val="BodyText"/>
        <w:ind w:start="1440" w:end="0"/>
        <w:rPr/>
      </w:pPr>
      <w:r>
        <w:rPr/>
        <w:t>Source: Energy and Environmental Analysis, Inc.</w:t>
      </w:r>
    </w:p>
    <w:p>
      <w:pPr>
        <w:pStyle w:val="EEAHead1"/>
        <w:rPr/>
      </w:pPr>
      <w:r>
        <w:rPr/>
      </w:r>
    </w:p>
    <w:p>
      <w:pPr>
        <w:pStyle w:val="Heading2"/>
        <w:ind w:hanging="0" w:start="0"/>
        <w:rPr/>
      </w:pPr>
      <w:r>
        <w:rPr/>
        <w:t>3.4</w:t>
        <w:tab/>
        <w:t>Storage Ownership</w:t>
      </w:r>
    </w:p>
    <w:p>
      <w:pPr>
        <w:pStyle w:val="eeaopen"/>
        <w:spacing w:lineRule="auto" w:line="240"/>
        <w:rPr/>
      </w:pPr>
      <w:r>
        <w:rPr/>
        <w:t>EIA breaks underground storage field owners into four types: interstate pipelines, intrastate pipelines, LDCs and independent operators.  A list of storage capacity by storage owner on a regional basis is contained in Exhibit 3-4.</w:t>
      </w:r>
    </w:p>
    <w:p>
      <w:pPr>
        <w:pStyle w:val="eeaopen"/>
        <w:spacing w:lineRule="auto" w:line="240"/>
        <w:rPr/>
      </w:pPr>
      <w:r>
        <w:rPr/>
      </w:r>
    </w:p>
    <w:p>
      <w:pPr>
        <w:pStyle w:val="eeaopen"/>
        <w:spacing w:lineRule="auto" w:line="240"/>
        <w:rPr/>
      </w:pPr>
      <w:r>
        <w:rPr/>
        <w:t>Interstate pipelines own 56 percent of the total underground working gas storage capacity.  The operation and charges for the storage service is regulated by FERC.  Interstate operators own storage capacity in all regions except for the West.  LDCs currently own about 30 percent of the total working gas storage capacity.  This capacity is heavily concentrated in the Midwest and the West (mainly in California).</w:t>
      </w:r>
    </w:p>
    <w:p>
      <w:pPr>
        <w:pStyle w:val="eeaopen"/>
        <w:spacing w:lineRule="auto" w:line="240"/>
        <w:rPr/>
      </w:pPr>
      <w:r>
        <w:rPr/>
      </w:r>
    </w:p>
    <w:p>
      <w:pPr>
        <w:pStyle w:val="eeaopen"/>
        <w:spacing w:lineRule="auto" w:line="240"/>
        <w:rPr/>
      </w:pPr>
      <w:r>
        <w:rPr/>
        <w:t xml:space="preserve">Intrastate pipeline companies operate in a single state and are not regulated by the FERC.  All of the storage capacity operated by intrastate pipelines is in the southwest producing region, a region with many depleted fields and salt formations available for conversion to storage purposes.  The intrastate pipeline network in the Southwest has access to the interstate pipelines and can be used to store gas for both local use and for delivery to other consuming regions such as the Midwest and Northeast.  </w:t>
      </w:r>
    </w:p>
    <w:p>
      <w:pPr>
        <w:pStyle w:val="eeaopen"/>
        <w:spacing w:lineRule="auto" w:line="240"/>
        <w:rPr/>
      </w:pPr>
      <w:r>
        <w:rPr/>
      </w:r>
    </w:p>
    <w:p>
      <w:pPr>
        <w:pStyle w:val="eeaopen"/>
        <w:spacing w:lineRule="auto" w:line="240"/>
        <w:rPr/>
      </w:pPr>
      <w:r>
        <w:rPr/>
        <w:t>Independent storage operators are primarily located in the Southwest producing region, and operate 16 storage facilities.  Nine of these facilities are high deliverability salt cavern facilities.  In all, independent storage operators operate 12 of the total 27 salt cavern facilities located in the U.S.  Independent operators have been active in developing a number of storage sites in recent years, primarily since FERC Order 636 was issued in 1992.</w:t>
      </w:r>
    </w:p>
    <w:p>
      <w:pPr>
        <w:pStyle w:val="eeaopen"/>
        <w:spacing w:lineRule="auto" w:line="240"/>
        <w:rPr/>
      </w:pPr>
      <w:r>
        <w:rPr/>
      </w:r>
    </w:p>
    <w:p>
      <w:pPr>
        <w:pStyle w:val="eeaopen"/>
        <w:spacing w:lineRule="auto" w:line="240"/>
        <w:rPr/>
      </w:pPr>
      <w:r>
        <w:rPr/>
      </w:r>
    </w:p>
    <w:p>
      <w:pPr>
        <w:pStyle w:val="Heading2"/>
        <w:ind w:hanging="0" w:start="0"/>
        <w:rPr/>
      </w:pPr>
      <w:r>
        <w:rPr/>
        <w:t>3.5</w:t>
        <w:tab/>
        <w:t>Storage Capacity and Usage Trends</w:t>
      </w:r>
    </w:p>
    <w:p>
      <w:pPr>
        <w:pStyle w:val="eeaopen"/>
        <w:spacing w:lineRule="auto" w:line="240"/>
        <w:rPr/>
      </w:pPr>
      <w:r>
        <w:rPr/>
        <w:t>According to the American Gas Association (AGA), total underground storage field capacity, including base gas, has grown from 4.1 Tcf in 1965 to 8.0 Tcf in 1996.  The total number of storage facilities increased from 293 in 1965 to 419 in 1983 before falling to 394 in 1996.  The average underground storage capacity per field increased from 14.0 Bcf to 20.3 Bcf over this period as larger storage fields were built and many smaller, less economic fields were either closed or expanded.</w:t>
      </w:r>
    </w:p>
    <w:p>
      <w:pPr>
        <w:pStyle w:val="eeaopen"/>
        <w:spacing w:lineRule="auto" w:line="240"/>
        <w:rPr/>
      </w:pPr>
      <w:r>
        <w:rPr/>
      </w:r>
    </w:p>
    <w:p>
      <w:pPr>
        <w:pStyle w:val="eeaopen"/>
        <w:spacing w:lineRule="auto" w:line="240"/>
        <w:rPr/>
      </w:pPr>
      <w:r>
        <w:rPr/>
        <w:t>U.S. working gas in storage, and gas storage injections and withdrawals for the 1990-1998 time period is shown in Exhibit 3-5.</w:t>
      </w:r>
    </w:p>
    <w:p>
      <w:pPr>
        <w:pStyle w:val="eeaopen"/>
        <w:spacing w:lineRule="auto" w:line="240"/>
        <w:rPr/>
      </w:pPr>
      <w:r>
        <w:rPr/>
      </w:r>
    </w:p>
    <w:p>
      <w:pPr>
        <w:pStyle w:val="Heading3"/>
        <w:ind w:hanging="0" w:start="0"/>
        <w:rPr/>
      </w:pPr>
      <w:r>
        <w:rPr/>
        <w:t>Relationship Between Storage Usage and Temperature</w:t>
      </w:r>
    </w:p>
    <w:p>
      <w:pPr>
        <w:pStyle w:val="eeaopen"/>
        <w:spacing w:lineRule="auto" w:line="240"/>
        <w:rPr/>
      </w:pPr>
      <w:r>
        <w:rPr/>
        <w:t xml:space="preserve">Winter storage use is highly correlated to temperatures.  Exhibit 3-6 plots the winter season working gas drawdown, or the change in working gas levels between October 31 and March 31, against U.S. heating degree days.  This figure illustrates the impacts of warmer vs. colder winters on winter season storage withdrawals as well as the changes in storage usage over time.  Storage drawdown relative to temperature has been higher in the 1990’s than in previous years.  This point is illustrated by comparing storage drawdown in the winter of 1976-77, which was the coldest winter in the last 25 years to storage drawdown in the winter of 1994-95.  The 1976-77 winter was 22% colder than the 1994-95 winter, but the storage drawdown was 17 percent lower in 1976-77 than 1994-95.  While the 1982-83 and 1994-95 winters were almost equally warm, the storage drawdown was 43 percent higher in 1994-95 than in 1982-83. The highest winter storage drawdown was in the 1995-96 winter season, when March working gas storage level was 2,238 Bcf lower than in October.  </w:t>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t>Exhibit 3-4</w:t>
      </w:r>
    </w:p>
    <w:p>
      <w:pPr>
        <w:pStyle w:val="eeaopen"/>
        <w:spacing w:lineRule="auto" w:line="240"/>
        <w:jc w:val="center"/>
        <w:rPr>
          <w:rFonts w:ascii="Arial" w:hAnsi="Arial" w:cs="Arial"/>
          <w:b/>
        </w:rPr>
      </w:pPr>
      <w:r>
        <w:rPr>
          <w:rFonts w:cs="Arial" w:ascii="Arial" w:hAnsi="Arial"/>
          <w:b/>
        </w:rPr>
        <w:t>Existing EIA Underground Storage Capacity by Field Type and Ownership</w:t>
      </w:r>
    </w:p>
    <w:p>
      <w:pPr>
        <w:pStyle w:val="eeaopen"/>
        <w:spacing w:lineRule="auto" w:line="240"/>
        <w:rPr>
          <w:rFonts w:ascii="Arial" w:hAnsi="Arial" w:cs="Arial"/>
          <w:b/>
          <w:lang w:val="en-CA" w:eastAsia="en-CA"/>
        </w:rPr>
      </w:pPr>
      <w:r>
        <w:rPr>
          <w:rFonts w:cs="Arial" w:ascii="Arial" w:hAnsi="Arial"/>
          <w:b/>
          <w:lang w:val="en-CA" w:eastAsia="en-CA"/>
        </w:rPr>
        <w:drawing>
          <wp:anchor behindDoc="0" distT="0" distB="0" distL="114935" distR="114935" simplePos="0" locked="0" layoutInCell="0" allowOverlap="1" relativeHeight="31">
            <wp:simplePos x="0" y="0"/>
            <wp:positionH relativeFrom="column">
              <wp:posOffset>-2011680</wp:posOffset>
            </wp:positionH>
            <wp:positionV relativeFrom="paragraph">
              <wp:posOffset>193040</wp:posOffset>
            </wp:positionV>
            <wp:extent cx="8869680" cy="4131310"/>
            <wp:effectExtent l="0" t="0" r="0" b="0"/>
            <wp:wrapTopAndBottom/>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16"/>
                    <a:srcRect l="-3" t="-7" r="-3" b="-7"/>
                    <a:stretch>
                      <a:fillRect/>
                    </a:stretch>
                  </pic:blipFill>
                  <pic:spPr bwMode="auto">
                    <a:xfrm>
                      <a:off x="0" y="0"/>
                      <a:ext cx="8869680" cy="4131310"/>
                    </a:xfrm>
                    <a:prstGeom prst="rect">
                      <a:avLst/>
                    </a:prstGeom>
                    <a:noFill/>
                  </pic:spPr>
                </pic:pic>
              </a:graphicData>
            </a:graphic>
          </wp:anchor>
        </w:drawing>
      </w:r>
    </w:p>
    <w:p>
      <w:pPr>
        <w:pStyle w:val="Normal"/>
        <w:rPr>
          <w:sz w:val="16"/>
        </w:rPr>
      </w:pPr>
      <w:r>
        <w:rPr>
          <w:sz w:val="16"/>
        </w:rPr>
        <w:t>Source: EIA,  Natural Gas Monthly, September 1997</w:t>
      </w:r>
    </w:p>
    <w:p>
      <w:pPr>
        <w:pStyle w:val="Normal"/>
        <w:jc w:val="center"/>
        <w:rPr>
          <w:sz w:val="16"/>
        </w:rPr>
      </w:pPr>
      <w:bookmarkStart w:id="4" w:name="_1019045266"/>
      <w:bookmarkEnd w:id="4"/>
      <w:r>
        <w:rPr>
          <w:lang w:val="en-CA"/>
        </w:rPr>
        <w:object w:dxaOrig="8629" w:dyaOrig="6037">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31.45pt;height:301.85pt" filled="f" o:ole="">
            <v:imagedata r:id="rId18" o:title=""/>
          </v:shape>
          <o:OLEObject Type="Embed" ProgID="" ShapeID="ole_rId17" DrawAspect="Content" ObjectID="_727103688" r:id="rId17"/>
        </w:object>
      </w:r>
    </w:p>
    <w:p>
      <w:pPr>
        <w:pStyle w:val="Normal"/>
        <w:rPr>
          <w:sz w:val="16"/>
        </w:rPr>
      </w:pPr>
      <w:r>
        <w:rPr>
          <w:sz w:val="16"/>
        </w:rPr>
      </w:r>
    </w:p>
    <w:p>
      <w:pPr>
        <w:pStyle w:val="Normal"/>
        <w:rPr>
          <w:sz w:val="16"/>
        </w:rPr>
      </w:pPr>
      <w:r>
        <w:rPr>
          <w:sz w:val="16"/>
        </w:rPr>
      </w:r>
    </w:p>
    <w:p>
      <w:pPr>
        <w:pStyle w:val="eeaopen"/>
        <w:spacing w:lineRule="auto" w:line="240"/>
        <w:rPr/>
      </w:pPr>
      <w:r>
        <w:rPr/>
      </w:r>
    </w:p>
    <w:p>
      <w:pPr>
        <w:pStyle w:val="eeaopen"/>
        <w:spacing w:lineRule="auto" w:line="240"/>
        <w:rPr/>
      </w:pPr>
      <w:r>
        <w:rPr/>
      </w:r>
    </w:p>
    <w:p>
      <w:pPr>
        <w:pStyle w:val="Normal"/>
        <w:rPr>
          <w:sz w:val="16"/>
        </w:rPr>
      </w:pPr>
      <w:r>
        <w:rPr>
          <w:sz w:val="16"/>
        </w:rPr>
        <w:t>Source: EIA, Natural Gas Monthly</w:t>
      </w:r>
    </w:p>
    <w:p>
      <w:pPr>
        <w:pStyle w:val="Normal"/>
        <w:rPr>
          <w:sz w:val="16"/>
        </w:rPr>
      </w:pPr>
      <w:r>
        <w:rPr>
          <w:sz w:val="16"/>
        </w:rPr>
      </w:r>
    </w:p>
    <w:p>
      <w:pPr>
        <w:pStyle w:val="Normal"/>
        <w:rPr>
          <w:sz w:val="16"/>
        </w:rPr>
      </w:pPr>
      <w:r>
        <w:rPr>
          <w:sz w:val="16"/>
        </w:rPr>
      </w:r>
    </w:p>
    <w:p>
      <w:pPr>
        <w:pStyle w:val="Normal"/>
        <w:rPr>
          <w:sz w:val="16"/>
        </w:rPr>
      </w:pPr>
      <w:r>
        <w:rPr>
          <w:sz w:val="16"/>
        </w:rPr>
      </w:r>
    </w:p>
    <w:p>
      <w:pPr>
        <w:pStyle w:val="eeaopen"/>
        <w:spacing w:lineRule="auto" w:line="240"/>
        <w:rPr/>
      </w:pPr>
      <w:r>
        <w:rPr/>
      </w:r>
    </w:p>
    <w:p>
      <w:pPr>
        <w:pStyle w:val="eeaopen"/>
        <w:spacing w:lineRule="auto" w:line="240"/>
        <w:jc w:val="center"/>
        <w:rPr>
          <w:lang w:val="en-CA" w:eastAsia="en-CA"/>
        </w:rPr>
      </w:pPr>
      <w:bookmarkStart w:id="5" w:name="_1019045152"/>
      <w:bookmarkEnd w:id="5"/>
      <w:r>
        <w:rPr>
          <w:lang w:val="en-CA" w:eastAsia="en-CA"/>
        </w:rPr>
        <w:object w:dxaOrig="8629" w:dyaOrig="6469">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431.45pt;height:323.45pt" filled="f" o:ole="">
            <v:imagedata r:id="rId20" o:title=""/>
          </v:shape>
          <o:OLEObject Type="Embed" ProgID="" ShapeID="ole_rId19" DrawAspect="Content" ObjectID="_1054457466" r:id="rId19"/>
        </w:object>
      </w:r>
    </w:p>
    <w:p>
      <w:pPr>
        <w:pStyle w:val="eeaopen"/>
        <w:spacing w:lineRule="auto" w:line="240"/>
        <w:rPr/>
      </w:pPr>
      <w:r>
        <w:rPr>
          <w:sz w:val="16"/>
        </w:rPr>
        <w:t>Source: EIA, Annual Energy Review &amp; Natural Gas Monthly</w:t>
      </w:r>
      <w:r>
        <w:rPr>
          <w:lang w:val="en-CA" w:eastAsia="en-CA"/>
        </w:rPr>
        <w:t xml:space="preserve"> </w:t>
      </w:r>
    </w:p>
    <w:p>
      <w:pPr>
        <w:pStyle w:val="eeaopen"/>
        <w:spacing w:lineRule="auto" w:line="240"/>
        <w:rPr>
          <w:lang w:val="en-CA" w:eastAsia="en-CA"/>
        </w:rPr>
      </w:pPr>
      <w:r>
        <w:rPr>
          <w:lang w:val="en-CA" w:eastAsia="en-CA"/>
        </w:rPr>
      </w:r>
    </w:p>
    <w:p>
      <w:pPr>
        <w:pStyle w:val="eeaopen"/>
        <w:spacing w:lineRule="auto" w:line="240"/>
        <w:rPr>
          <w:lang w:val="en-CA" w:eastAsia="en-CA"/>
        </w:rPr>
      </w:pPr>
      <w:r>
        <w:rPr>
          <w:lang w:val="en-CA" w:eastAsia="en-CA"/>
        </w:rPr>
      </w:r>
    </w:p>
    <w:p>
      <w:pPr>
        <w:pStyle w:val="eeaopen"/>
        <w:spacing w:lineRule="auto" w:line="240"/>
        <w:rPr>
          <w:lang w:val="en-CA" w:eastAsia="en-CA"/>
        </w:rPr>
      </w:pPr>
      <w:r>
        <w:rPr>
          <w:lang w:val="en-CA" w:eastAsia="en-CA"/>
        </w:rPr>
      </w:r>
    </w:p>
    <w:p>
      <w:pPr>
        <w:pStyle w:val="eeaopen"/>
        <w:tabs>
          <w:tab w:val="clear" w:pos="720"/>
          <w:tab w:val="left" w:pos="5850" w:leader="none"/>
        </w:tabs>
        <w:spacing w:lineRule="auto" w:line="240"/>
        <w:jc w:val="center"/>
        <w:rPr>
          <w:lang w:val="en-CA" w:eastAsia="en-CA"/>
        </w:rPr>
      </w:pPr>
      <w:bookmarkStart w:id="6" w:name="_1019045186"/>
      <w:bookmarkEnd w:id="6"/>
      <w:r>
        <w:rPr>
          <w:lang w:val="en-CA" w:eastAsia="en-CA"/>
        </w:rPr>
        <w:object w:dxaOrig="8629" w:dyaOrig="6037">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431.45pt;height:301.85pt" filled="f" o:ole="">
            <v:imagedata r:id="rId22" o:title=""/>
          </v:shape>
          <o:OLEObject Type="Embed" ProgID="" ShapeID="ole_rId21" DrawAspect="Content" ObjectID="_1895338123" r:id="rId21"/>
        </w:object>
      </w:r>
    </w:p>
    <w:p>
      <w:pPr>
        <w:pStyle w:val="eeaopen"/>
        <w:tabs>
          <w:tab w:val="clear" w:pos="720"/>
          <w:tab w:val="left" w:pos="5850" w:leader="none"/>
        </w:tabs>
        <w:spacing w:lineRule="auto" w:line="240"/>
        <w:rPr>
          <w:sz w:val="16"/>
        </w:rPr>
      </w:pPr>
      <w:r>
        <w:rPr>
          <w:sz w:val="16"/>
        </w:rPr>
        <w:t>Source: GRI, “Gas Issues and Trends:  Short Term Gas Prices:  How the Market Adjusts to Changing Fundamentals”, July 1998.</w:t>
      </w:r>
    </w:p>
    <w:p>
      <w:pPr>
        <w:pStyle w:val="EEAHead1"/>
        <w:tabs>
          <w:tab w:val="clear" w:pos="720"/>
        </w:tabs>
        <w:rPr>
          <w:rFonts w:ascii="Arial" w:hAnsi="Arial" w:cs="Arial"/>
          <w:caps w:val="false"/>
          <w:smallCaps w:val="false"/>
        </w:rPr>
      </w:pPr>
      <w:r>
        <w:rPr>
          <w:rFonts w:cs="Arial" w:ascii="Arial" w:hAnsi="Arial"/>
          <w:caps w:val="false"/>
          <w:smallCaps w:val="false"/>
        </w:rPr>
      </w:r>
    </w:p>
    <w:p>
      <w:pPr>
        <w:pStyle w:val="Heading3"/>
        <w:ind w:hanging="0" w:start="0"/>
        <w:rPr/>
      </w:pPr>
      <w:r>
        <w:rPr/>
        <w:t>Impact of Gas in Storage on Natural Gas Prices</w:t>
      </w:r>
    </w:p>
    <w:p>
      <w:pPr>
        <w:pStyle w:val="eeaopen"/>
        <w:spacing w:lineRule="auto" w:line="240"/>
        <w:rPr/>
      </w:pPr>
      <w:r>
        <w:rPr/>
        <w:t xml:space="preserve">The amount and deliverability of natural gas in storage is a major factor influencing short-term gas prices.  When storage volumes are lower than normal, the market tends to react quickly and strongly to the possibility of short term supply shortages.  When storage volumes are higher than normal, the market tends to be much less concerned about the impacts of increases in demand.  </w:t>
      </w:r>
    </w:p>
    <w:p>
      <w:pPr>
        <w:pStyle w:val="eeaopen"/>
        <w:spacing w:lineRule="auto" w:line="240"/>
        <w:rPr/>
      </w:pPr>
      <w:r>
        <w:rPr/>
      </w:r>
    </w:p>
    <w:p>
      <w:pPr>
        <w:pStyle w:val="eeaopen"/>
        <w:spacing w:lineRule="auto" w:line="240"/>
        <w:rPr/>
      </w:pPr>
      <w:r>
        <w:rPr/>
        <w:t>This is illustrated by looking at the impact of winter weather on spot prices.  Gas prices tend to peak when storage volumes are low relative to normal volumes, such as during the period between November 1995 and February 1996, when colder than normal winter weather drove U.S. gas prices to extremely high levels.  Exhibit 3-7 illustrates the relationship between storage levels and prices.  This exhibit illustrates a surprisingly strong relationship between Henry Hub gas prices and the level of storage inventories relative to normal.</w:t>
      </w:r>
    </w:p>
    <w:p>
      <w:pPr>
        <w:pStyle w:val="eeaopen"/>
        <w:spacing w:lineRule="auto" w:line="240"/>
        <w:rPr/>
      </w:pPr>
      <w:r>
        <w:rPr/>
      </w:r>
    </w:p>
    <w:p>
      <w:pPr>
        <w:pStyle w:val="eeaopen"/>
        <w:spacing w:lineRule="auto" w:line="240"/>
        <w:rPr/>
      </w:pPr>
      <w:r>
        <w:rPr/>
        <w:t>Storage injection patterns also influence summer gas prices.  When winter storage drawdowns are greater than normal, the resulting larger-than-normal summer injections tend to keep summer gas prices higher than normal during the following injection period.  The same result occurs if LDCs and other storage users decide to increase the amount of gas in storage, or use an earlier natural gas injection schedule.</w:t>
      </w:r>
    </w:p>
    <w:p>
      <w:pPr>
        <w:pStyle w:val="eeaopen"/>
        <w:spacing w:lineRule="auto" w:line="240"/>
        <w:rPr/>
      </w:pPr>
      <w:r>
        <w:rPr/>
      </w:r>
    </w:p>
    <w:p>
      <w:pPr>
        <w:pStyle w:val="eeaopen"/>
        <w:spacing w:lineRule="auto" w:line="240"/>
        <w:rPr/>
      </w:pPr>
      <w:r>
        <w:rPr/>
        <w:t>In addition, natural gas traders use the injection and withdrawal data in conjunction with other market information in an attempt to identify other important market conditions.  For example, during the summer injection season, the data is combined with power generation gas usage to estimate natural gas wellhead deliverability.</w:t>
      </w:r>
    </w:p>
    <w:p>
      <w:pPr>
        <w:pStyle w:val="eeaopen"/>
        <w:spacing w:lineRule="auto" w:line="240"/>
        <w:rPr/>
      </w:pPr>
      <w:r>
        <w:rPr/>
      </w:r>
    </w:p>
    <w:p>
      <w:pPr>
        <w:pStyle w:val="eeaopen"/>
        <w:spacing w:lineRule="auto" w:line="240"/>
        <w:rPr/>
      </w:pPr>
      <w:r>
        <w:rPr/>
      </w:r>
    </w:p>
    <w:p>
      <w:pPr>
        <w:pStyle w:val="EEAHead1"/>
        <w:tabs>
          <w:tab w:val="clear" w:pos="720"/>
        </w:tabs>
        <w:rPr/>
      </w:pPr>
      <w:r>
        <w:rPr>
          <w:rFonts w:cs="Arial" w:ascii="Arial" w:hAnsi="Arial"/>
          <w:caps w:val="false"/>
          <w:smallCaps w:val="false"/>
          <w:sz w:val="28"/>
        </w:rPr>
        <w:t>3.6</w:t>
        <w:tab/>
        <w:t>Storage Field Ope</w:t>
      </w:r>
      <w:r>
        <w:rPr>
          <w:rFonts w:cs="Arial" w:ascii="Arial" w:hAnsi="Arial"/>
          <w:i/>
          <w:caps w:val="false"/>
          <w:smallCaps w:val="false"/>
          <w:sz w:val="28"/>
        </w:rPr>
        <w:t>r</w:t>
      </w:r>
      <w:r>
        <w:rPr>
          <w:rFonts w:cs="Arial" w:ascii="Arial" w:hAnsi="Arial"/>
          <w:caps w:val="false"/>
          <w:smallCaps w:val="false"/>
          <w:sz w:val="28"/>
        </w:rPr>
        <w:t>ation and Maintenance Costs</w:t>
      </w:r>
    </w:p>
    <w:p>
      <w:pPr>
        <w:pStyle w:val="eeaopen"/>
        <w:spacing w:lineRule="auto" w:line="240"/>
        <w:rPr/>
      </w:pPr>
      <w:r>
        <w:rPr/>
        <w:t>In 1997, storage Operations and Maintenance (O&amp;M) costs averaged $0.20 per decatherm of storage throughput.  This is equivalent to about 40 percent of the total revenue per decatherm ($0.54 per decatherm) received for storage services provided.</w:t>
      </w:r>
    </w:p>
    <w:p>
      <w:pPr>
        <w:pStyle w:val="eeaopen"/>
        <w:spacing w:lineRule="auto" w:line="240"/>
        <w:rPr/>
      </w:pPr>
      <w:r>
        <w:rPr/>
      </w:r>
    </w:p>
    <w:p>
      <w:pPr>
        <w:pStyle w:val="eeaopen"/>
        <w:spacing w:lineRule="auto" w:line="240"/>
        <w:rPr/>
      </w:pPr>
      <w:r>
        <w:rPr/>
        <w:t>The components of storage O&amp;M costs are shown in Exhibit 3-8.  The storage field operations and maintenance costs shown in this table reflect national average expenditures per unit of throughput and unit of deliverability for total operations and maintenance expenses for interstate storage operators.  The data was compiled from 1997 FERC Form 2 and Form 2A data.  Together these operators account for the vast majority of the interstate market with 2.1 Tcf of storage capacity and 1997 withdrawals of just over 2.4 Tcf.</w:t>
      </w:r>
    </w:p>
    <w:p>
      <w:pPr>
        <w:pStyle w:val="eeaopen"/>
        <w:spacing w:lineRule="auto" w:line="240"/>
        <w:rPr/>
      </w:pPr>
      <w:r>
        <w:rPr/>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t>Exhibit 3-8</w:t>
      </w:r>
    </w:p>
    <w:p>
      <w:pPr>
        <w:pStyle w:val="eeaopen"/>
        <w:spacing w:lineRule="auto" w:line="240"/>
        <w:jc w:val="center"/>
        <w:rPr>
          <w:rFonts w:ascii="Arial" w:hAnsi="Arial" w:cs="Arial"/>
          <w:b/>
        </w:rPr>
      </w:pPr>
      <w:r>
        <w:rPr>
          <w:rFonts w:cs="Arial" w:ascii="Arial" w:hAnsi="Arial"/>
          <w:b/>
        </w:rPr>
        <w:t>1997 Storage Expenses for Interstate Storage Operators</w:t>
      </w:r>
    </w:p>
    <w:p>
      <w:pPr>
        <w:pStyle w:val="eeaopen"/>
        <w:spacing w:lineRule="auto" w:line="240"/>
        <w:rPr>
          <w:rFonts w:ascii="Arial" w:hAnsi="Arial" w:cs="Arial"/>
          <w:b/>
        </w:rPr>
      </w:pPr>
      <w:r>
        <w:rPr>
          <w:rFonts w:cs="Arial" w:ascii="Arial" w:hAnsi="Arial"/>
          <w:b/>
        </w:rPr>
      </w:r>
    </w:p>
    <w:p>
      <w:pPr>
        <w:pStyle w:val="eeaopen"/>
        <w:spacing w:lineRule="auto" w:line="240"/>
        <w:rPr>
          <w:rFonts w:ascii="Arial" w:hAnsi="Arial" w:cs="Arial"/>
          <w:b/>
          <w:lang w:val="en-CA" w:eastAsia="en-CA"/>
        </w:rPr>
      </w:pPr>
      <w:r>
        <w:rPr>
          <w:rFonts w:cs="Arial" w:ascii="Arial" w:hAnsi="Arial"/>
          <w:b/>
          <w:lang w:val="en-CA" w:eastAsia="en-CA"/>
        </w:rPr>
        <w:object w:dxaOrig="9504" w:dyaOrig="8916">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position:absolute;margin-left:0pt;margin-top:16.8pt;width:475.2pt;height:445.8pt;mso-wrap-distance-left:9.05pt;mso-wrap-distance-right:9.05pt;mso-position-horizontal-relative:text;mso-position-vertical-relative:text" filled="f" o:ole="">
            <v:imagedata r:id="rId24" o:title=""/>
            <w10:wrap type="topAndBottom"/>
          </v:shape>
          <o:OLEObject Type="Embed" ProgID="" ShapeID="ole_rId23" DrawAspect="Content" ObjectID="_823292611" r:id="rId23"/>
        </w:object>
      </w:r>
    </w:p>
    <w:p>
      <w:pPr>
        <w:pStyle w:val="eeaopen"/>
        <w:spacing w:lineRule="auto" w:line="240"/>
        <w:rPr>
          <w:sz w:val="16"/>
        </w:rPr>
      </w:pPr>
      <w:r>
        <w:rPr>
          <w:sz w:val="16"/>
        </w:rPr>
      </w:r>
    </w:p>
    <w:p>
      <w:pPr>
        <w:pStyle w:val="eeaopen"/>
        <w:spacing w:lineRule="auto" w:line="240"/>
        <w:rPr>
          <w:sz w:val="16"/>
        </w:rPr>
      </w:pPr>
      <w:r>
        <w:rPr>
          <w:sz w:val="16"/>
        </w:rPr>
        <w:t>Source:  FERC Form 2 and Form 2A Data</w:t>
      </w:r>
    </w:p>
    <w:p>
      <w:pPr>
        <w:pStyle w:val="eeaopen"/>
        <w:spacing w:lineRule="auto" w:line="240"/>
        <w:rPr>
          <w:sz w:val="16"/>
        </w:rPr>
      </w:pPr>
      <w:r>
        <w:rPr>
          <w:sz w:val="16"/>
        </w:rPr>
      </w:r>
    </w:p>
    <w:p>
      <w:pPr>
        <w:pStyle w:val="eeaopen"/>
        <w:spacing w:lineRule="auto" w:line="240"/>
        <w:ind w:hanging="360" w:start="360" w:end="0"/>
        <w:rPr/>
      </w:pPr>
      <w:r>
        <w:rPr>
          <w:sz w:val="16"/>
          <w:vertAlign w:val="superscript"/>
        </w:rPr>
        <w:t>5</w:t>
        <w:tab/>
      </w:r>
      <w:r>
        <w:rPr>
          <w:sz w:val="16"/>
        </w:rPr>
        <w:t>Other Storage Operation Expenses include: Electrical power, labor, Administrative and general expenses allocated to storage facilities, regulatory expenses, measurement and monitoring expenses,</w:t>
      </w:r>
    </w:p>
    <w:p>
      <w:pPr>
        <w:pStyle w:val="eeaopen"/>
        <w:spacing w:lineRule="auto" w:line="240"/>
        <w:rPr>
          <w:sz w:val="16"/>
        </w:rPr>
      </w:pPr>
      <w:r>
        <w:rPr>
          <w:sz w:val="16"/>
        </w:rPr>
      </w:r>
    </w:p>
    <w:p>
      <w:pPr>
        <w:pStyle w:val="eeaopen"/>
        <w:spacing w:lineRule="auto" w:line="240"/>
        <w:rPr>
          <w:sz w:val="16"/>
        </w:rPr>
      </w:pPr>
      <w:r>
        <w:rPr>
          <w:sz w:val="16"/>
        </w:rPr>
      </w:r>
    </w:p>
    <w:p>
      <w:pPr>
        <w:pStyle w:val="Heading1"/>
        <w:ind w:hanging="0" w:start="0"/>
        <w:rPr/>
      </w:pPr>
      <w:r>
        <w:rPr/>
        <w:t>4.  Role of Storage in Natural Gas Markets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eeaopen"/>
        <w:spacing w:lineRule="auto" w:line="240"/>
        <w:rPr/>
      </w:pPr>
      <w:r>
        <w:rPr/>
        <w:t>Storage is used for a variety of purposes.  Pipelines and producers use storage to increase winter season deliverability and to improve the reliability of gas supplies.  LDCs and other end-users use storage to reduce pipeline demand charges, to hedge against increases in gas prices, and to arbitrage differences between winter and summer prices.   In addition, storage is used to increase the operational flexibility of all pipeline users; storage provides a resting place for unsold supplies and provides surge capacity to meet unexpected demand.  This section explores the interaction of storage with gas markets, the types of storage services offered, and how storage customers use these services.</w:t>
      </w:r>
    </w:p>
    <w:p>
      <w:pPr>
        <w:pStyle w:val="eeaopen"/>
        <w:spacing w:lineRule="auto" w:line="240"/>
        <w:rPr/>
      </w:pPr>
      <w:r>
        <w:rPr/>
      </w:r>
    </w:p>
    <w:p>
      <w:pPr>
        <w:pStyle w:val="eeaopen"/>
        <w:spacing w:lineRule="auto" w:line="240"/>
        <w:rPr/>
      </w:pPr>
      <w:r>
        <w:rPr/>
      </w:r>
    </w:p>
    <w:p>
      <w:pPr>
        <w:pStyle w:val="Heading2"/>
        <w:ind w:hanging="0" w:start="0"/>
        <w:rPr/>
      </w:pPr>
      <w:r>
        <w:rPr/>
        <w:t>4.1</w:t>
        <w:tab/>
        <w:t>Services Offered by Storage Providers</w:t>
      </w:r>
    </w:p>
    <w:p>
      <w:pPr>
        <w:pStyle w:val="eeaopen"/>
        <w:spacing w:lineRule="auto" w:line="240"/>
        <w:rPr/>
      </w:pPr>
      <w:r>
        <w:rPr/>
        <w:t>Storage providers offer several different types of storage to meet customer needs.  While the types of services offered vary between storage operators and are dependent on the characteristics of the storage operators’ facilities and customer requirements, they fall into seven main categories.</w:t>
      </w:r>
    </w:p>
    <w:p>
      <w:pPr>
        <w:pStyle w:val="eeaopen"/>
        <w:spacing w:lineRule="auto" w:line="240"/>
        <w:rPr/>
      </w:pPr>
      <w:r>
        <w:rPr/>
      </w:r>
    </w:p>
    <w:p>
      <w:pPr>
        <w:pStyle w:val="eeaopen"/>
        <w:spacing w:lineRule="auto" w:line="240"/>
        <w:rPr>
          <w:b/>
          <w:sz w:val="12"/>
          <w:u w:val="single"/>
          <w:lang w:val="en-CA" w:eastAsia="en-CA"/>
        </w:rPr>
      </w:pPr>
      <w:r>
        <w:rPr>
          <w:b/>
          <w:sz w:val="12"/>
          <w:u w:val="single"/>
          <w:lang w:val="en-CA" w:eastAsia="en-CA"/>
        </w:rPr>
      </w:r>
      <w:r>
        <mc:AlternateContent>
          <mc:Choice Requires="wps">
            <w:drawing>
              <wp:anchor behindDoc="1" distT="0" distB="0" distL="114935" distR="114935" simplePos="0" locked="0" layoutInCell="0" allowOverlap="1" relativeHeight="22">
                <wp:simplePos x="0" y="0"/>
                <wp:positionH relativeFrom="column">
                  <wp:posOffset>-12700</wp:posOffset>
                </wp:positionH>
                <wp:positionV relativeFrom="page">
                  <wp:posOffset>4302760</wp:posOffset>
                </wp:positionV>
                <wp:extent cx="5969000" cy="3591560"/>
                <wp:effectExtent l="0" t="0" r="0" b="0"/>
                <wp:wrapTopAndBottom/>
                <wp:docPr id="13" name="Frame6"/>
                <a:graphic xmlns:a="http://schemas.openxmlformats.org/drawingml/2006/main">
                  <a:graphicData uri="http://schemas.microsoft.com/office/word/2010/wordprocessingShape">
                    <wps:wsp>
                      <wps:cNvSpPr txBox="1"/>
                      <wps:spPr>
                        <a:xfrm>
                          <a:off x="0" y="0"/>
                          <a:ext cx="5969000" cy="3591560"/>
                        </a:xfrm>
                        <a:prstGeom prst="rect"/>
                        <a:solidFill>
                          <a:srgbClr val="FFFFFF">
                            <a:alpha val="0"/>
                          </a:srgbClr>
                        </a:solidFill>
                        <a:ln w="25400">
                          <a:solidFill>
                            <a:srgbClr val="000000"/>
                          </a:solidFill>
                        </a:ln>
                      </wps:spPr>
                      <wps:txbx>
                        <w:txbxContent>
                          <w:tbl>
                            <w:tblPr>
                              <w:tblW w:w="9047" w:type="dxa"/>
                              <w:jc w:val="start"/>
                              <w:tblInd w:w="108" w:type="dxa"/>
                              <w:tblLayout w:type="fixed"/>
                              <w:tblCellMar>
                                <w:top w:w="0" w:type="dxa"/>
                                <w:start w:w="108" w:type="dxa"/>
                                <w:bottom w:w="0" w:type="dxa"/>
                                <w:end w:w="108" w:type="dxa"/>
                              </w:tblCellMar>
                            </w:tblPr>
                            <w:tblGrid>
                              <w:gridCol w:w="9047"/>
                            </w:tblGrid>
                            <w:tr>
                              <w:trPr/>
                              <w:tc>
                                <w:tcPr>
                                  <w:tcW w:w="9047" w:type="dxa"/>
                                  <w:tcBorders>
                                    <w:top w:val="single" w:sz="4" w:space="0" w:color="000000"/>
                                    <w:start w:val="single" w:sz="4" w:space="0" w:color="000000"/>
                                    <w:bottom w:val="single" w:sz="4" w:space="0" w:color="000000"/>
                                    <w:end w:val="single" w:sz="4" w:space="0" w:color="000000"/>
                                  </w:tcBorders>
                                  <w:shd w:fill="D8D8D8" w:val="clear"/>
                                </w:tcPr>
                                <w:p>
                                  <w:pPr>
                                    <w:pStyle w:val="eeaopen"/>
                                    <w:spacing w:before="0" w:after="120"/>
                                    <w:jc w:val="center"/>
                                    <w:rPr>
                                      <w:b/>
                                    </w:rPr>
                                  </w:pPr>
                                  <w:r>
                                    <w:rPr>
                                      <w:b/>
                                    </w:rPr>
                                    <w:t>TYPICAL STORAGE TARIFF TERMS</w:t>
                                  </w:r>
                                </w:p>
                                <w:p>
                                  <w:pPr>
                                    <w:pStyle w:val="eeaopen"/>
                                    <w:spacing w:lineRule="auto" w:line="240" w:before="0" w:after="120"/>
                                    <w:rPr/>
                                  </w:pPr>
                                  <w:r>
                                    <w:rPr>
                                      <w:b/>
                                    </w:rPr>
                                    <w:t>Maximum Storage Capacity</w:t>
                                  </w:r>
                                  <w:r>
                                    <w:rPr/>
                                    <w:t xml:space="preserve"> - The maximum storage capacity is the largest total volume of gas that a storage customer can have in a field at a given time.</w:t>
                                  </w:r>
                                </w:p>
                                <w:p>
                                  <w:pPr>
                                    <w:pStyle w:val="eeaopen"/>
                                    <w:spacing w:lineRule="auto" w:line="240" w:before="0" w:after="120"/>
                                    <w:rPr/>
                                  </w:pPr>
                                  <w:r>
                                    <w:rPr>
                                      <w:b/>
                                    </w:rPr>
                                    <w:t>Maximum Daily Injection/Withdrawal Quantity</w:t>
                                  </w:r>
                                  <w:r>
                                    <w:rPr/>
                                    <w:t xml:space="preserve"> - The maximum daily injection/withdrawal quantity  limits the amount of injections or withdrawals on any given day.  Typically, the maximum daily injection will be lower than the maximum daily withdrawal, due to  storage field geology and characteristics.</w:t>
                                  </w:r>
                                </w:p>
                                <w:p>
                                  <w:pPr>
                                    <w:pStyle w:val="eeaopen"/>
                                    <w:spacing w:lineRule="auto" w:line="240" w:before="0" w:after="120"/>
                                    <w:rPr/>
                                  </w:pPr>
                                  <w:r>
                                    <w:rPr>
                                      <w:b/>
                                    </w:rPr>
                                    <w:t>Injection and Withdrawal Periods</w:t>
                                  </w:r>
                                  <w:r>
                                    <w:rPr/>
                                    <w:t xml:space="preserve"> - The geology of some storage fields, generally aquifers and some depleted fields, do not allow operators to switch between storage injections and withdrawals.  These fields are generally used for seasonal storage and have set injection and withdrawal seasons.  Also, some fields require a complete withdrawal of working gas every season.  Operators of these fields generally require storage customers to withdraw all or a set proportion of their gas by the end of the withdrawal period or loose title to the gas.  Some short term and interruptible services have time limits on the withdrawal of gas.</w:t>
                                  </w:r>
                                </w:p>
                                <w:p>
                                  <w:pPr>
                                    <w:pStyle w:val="eeaopen"/>
                                    <w:spacing w:lineRule="auto" w:line="240" w:before="0" w:after="120"/>
                                    <w:rPr/>
                                  </w:pPr>
                                  <w:r>
                                    <w:rPr>
                                      <w:b/>
                                    </w:rPr>
                                    <w:t>Shrinkage Factor</w:t>
                                  </w:r>
                                  <w:r>
                                    <w:rPr/>
                                    <w:t xml:space="preserve"> - The shrinkage factor is the portion of gas retained by the storage provider for use in running storage field compressors or other facilities.  The shrinkage factor can also be used to account for any lost gas that migrates out of the field.</w:t>
                                  </w:r>
                                </w:p>
                                <w:p>
                                  <w:pPr>
                                    <w:pStyle w:val="eeaopen"/>
                                    <w:shd w:fill="CCCCCC" w:val="clear"/>
                                    <w:spacing w:before="0" w:after="120"/>
                                    <w:jc w:val="center"/>
                                    <w:rPr>
                                      <w:b/>
                                    </w:rPr>
                                  </w:pPr>
                                  <w:r>
                                    <w:rPr>
                                      <w:b/>
                                    </w:rPr>
                                  </w:r>
                                </w:p>
                              </w:tc>
                            </w:tr>
                          </w:tbl>
                          <w:p>
                            <w:pPr>
                              <w:pStyle w:val="eeaopen"/>
                              <w:spacing w:lineRule="auto" w:line="240" w:before="0" w:after="120"/>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70pt;height:282.8pt;mso-wrap-distance-left:9.05pt;mso-wrap-distance-right:9.05pt;mso-wrap-distance-top:0pt;mso-wrap-distance-bottom:0pt;margin-top:338.8pt;mso-position-vertical-relative:page;margin-left:-1pt;mso-position-horizontal-relative:text">
                <v:fill opacity="0f"/>
                <v:textbox>
                  <w:txbxContent>
                    <w:tbl>
                      <w:tblPr>
                        <w:tblW w:w="9047" w:type="dxa"/>
                        <w:jc w:val="start"/>
                        <w:tblInd w:w="108" w:type="dxa"/>
                        <w:tblLayout w:type="fixed"/>
                        <w:tblCellMar>
                          <w:top w:w="0" w:type="dxa"/>
                          <w:start w:w="108" w:type="dxa"/>
                          <w:bottom w:w="0" w:type="dxa"/>
                          <w:end w:w="108" w:type="dxa"/>
                        </w:tblCellMar>
                      </w:tblPr>
                      <w:tblGrid>
                        <w:gridCol w:w="9047"/>
                      </w:tblGrid>
                      <w:tr>
                        <w:trPr/>
                        <w:tc>
                          <w:tcPr>
                            <w:tcW w:w="9047" w:type="dxa"/>
                            <w:tcBorders>
                              <w:top w:val="single" w:sz="4" w:space="0" w:color="000000"/>
                              <w:start w:val="single" w:sz="4" w:space="0" w:color="000000"/>
                              <w:bottom w:val="single" w:sz="4" w:space="0" w:color="000000"/>
                              <w:end w:val="single" w:sz="4" w:space="0" w:color="000000"/>
                            </w:tcBorders>
                            <w:shd w:fill="D8D8D8" w:val="clear"/>
                          </w:tcPr>
                          <w:p>
                            <w:pPr>
                              <w:pStyle w:val="eeaopen"/>
                              <w:spacing w:before="0" w:after="120"/>
                              <w:jc w:val="center"/>
                              <w:rPr>
                                <w:b/>
                              </w:rPr>
                            </w:pPr>
                            <w:r>
                              <w:rPr>
                                <w:b/>
                              </w:rPr>
                              <w:t>TYPICAL STORAGE TARIFF TERMS</w:t>
                            </w:r>
                          </w:p>
                          <w:p>
                            <w:pPr>
                              <w:pStyle w:val="eeaopen"/>
                              <w:spacing w:lineRule="auto" w:line="240" w:before="0" w:after="120"/>
                              <w:rPr/>
                            </w:pPr>
                            <w:r>
                              <w:rPr>
                                <w:b/>
                              </w:rPr>
                              <w:t>Maximum Storage Capacity</w:t>
                            </w:r>
                            <w:r>
                              <w:rPr/>
                              <w:t xml:space="preserve"> - The maximum storage capacity is the largest total volume of gas that a storage customer can have in a field at a given time.</w:t>
                            </w:r>
                          </w:p>
                          <w:p>
                            <w:pPr>
                              <w:pStyle w:val="eeaopen"/>
                              <w:spacing w:lineRule="auto" w:line="240" w:before="0" w:after="120"/>
                              <w:rPr/>
                            </w:pPr>
                            <w:r>
                              <w:rPr>
                                <w:b/>
                              </w:rPr>
                              <w:t>Maximum Daily Injection/Withdrawal Quantity</w:t>
                            </w:r>
                            <w:r>
                              <w:rPr/>
                              <w:t xml:space="preserve"> - The maximum daily injection/withdrawal quantity  limits the amount of injections or withdrawals on any given day.  Typically, the maximum daily injection will be lower than the maximum daily withdrawal, due to  storage field geology and characteristics.</w:t>
                            </w:r>
                          </w:p>
                          <w:p>
                            <w:pPr>
                              <w:pStyle w:val="eeaopen"/>
                              <w:spacing w:lineRule="auto" w:line="240" w:before="0" w:after="120"/>
                              <w:rPr/>
                            </w:pPr>
                            <w:r>
                              <w:rPr>
                                <w:b/>
                              </w:rPr>
                              <w:t>Injection and Withdrawal Periods</w:t>
                            </w:r>
                            <w:r>
                              <w:rPr/>
                              <w:t xml:space="preserve"> - The geology of some storage fields, generally aquifers and some depleted fields, do not allow operators to switch between storage injections and withdrawals.  These fields are generally used for seasonal storage and have set injection and withdrawal seasons.  Also, some fields require a complete withdrawal of working gas every season.  Operators of these fields generally require storage customers to withdraw all or a set proportion of their gas by the end of the withdrawal period or loose title to the gas.  Some short term and interruptible services have time limits on the withdrawal of gas.</w:t>
                            </w:r>
                          </w:p>
                          <w:p>
                            <w:pPr>
                              <w:pStyle w:val="eeaopen"/>
                              <w:spacing w:lineRule="auto" w:line="240" w:before="0" w:after="120"/>
                              <w:rPr/>
                            </w:pPr>
                            <w:r>
                              <w:rPr>
                                <w:b/>
                              </w:rPr>
                              <w:t>Shrinkage Factor</w:t>
                            </w:r>
                            <w:r>
                              <w:rPr/>
                              <w:t xml:space="preserve"> - The shrinkage factor is the portion of gas retained by the storage provider for use in running storage field compressors or other facilities.  The shrinkage factor can also be used to account for any lost gas that migrates out of the field.</w:t>
                            </w:r>
                          </w:p>
                          <w:p>
                            <w:pPr>
                              <w:pStyle w:val="eeaopen"/>
                              <w:shd w:fill="CCCCCC" w:val="clear"/>
                              <w:spacing w:before="0" w:after="120"/>
                              <w:jc w:val="center"/>
                              <w:rPr>
                                <w:b/>
                              </w:rPr>
                            </w:pPr>
                            <w:r>
                              <w:rPr>
                                <w:b/>
                              </w:rPr>
                            </w:r>
                          </w:p>
                        </w:tc>
                      </w:tr>
                    </w:tbl>
                    <w:p>
                      <w:pPr>
                        <w:pStyle w:val="eeaopen"/>
                        <w:spacing w:lineRule="auto" w:line="240" w:before="0" w:after="120"/>
                        <w:rPr/>
                      </w:pPr>
                      <w:r>
                        <w:rPr/>
                      </w:r>
                    </w:p>
                  </w:txbxContent>
                </v:textbox>
                <w10:wrap type="topAndBottom"/>
              </v:rect>
            </w:pict>
          </mc:Fallback>
        </mc:AlternateContent>
      </w:r>
    </w:p>
    <w:p>
      <w:pPr>
        <w:pStyle w:val="EEAHead1"/>
        <w:tabs>
          <w:tab w:val="clear" w:pos="720"/>
        </w:tabs>
        <w:rPr>
          <w:rFonts w:ascii="Arial" w:hAnsi="Arial" w:cs="Arial"/>
          <w:b w:val="false"/>
          <w:caps w:val="false"/>
          <w:smallCaps w:val="false"/>
          <w:u w:val="single"/>
        </w:rPr>
      </w:pPr>
      <w:r>
        <w:rPr>
          <w:rFonts w:cs="Arial" w:ascii="Arial" w:hAnsi="Arial"/>
          <w:b w:val="false"/>
          <w:caps w:val="false"/>
          <w:smallCaps w:val="false"/>
          <w:u w:val="single"/>
        </w:rPr>
      </w:r>
    </w:p>
    <w:p>
      <w:pPr>
        <w:pStyle w:val="Heading3"/>
        <w:ind w:hanging="0" w:start="0"/>
        <w:rPr/>
      </w:pPr>
      <w:r>
        <w:rPr/>
        <w:t xml:space="preserve">1)  Firm Storage Service </w:t>
      </w:r>
    </w:p>
    <w:p>
      <w:pPr>
        <w:pStyle w:val="eeaopen"/>
        <w:spacing w:lineRule="auto" w:line="240"/>
        <w:rPr/>
      </w:pPr>
      <w:r>
        <w:rPr/>
        <w:t>Firm storage is the most common type of service and has the highest priority.  Firm storage service allows the buyer to deliver gas into storage during specified injection periods, and withdraw gas from storage basis during the storage withdrawal period.  The maximum daily storage withdrawal is generally limited to the buyer’s contracted storage demand (storage deliverability) and the maximum gas in storage at any point in time is limited to the Buyer’s storage capacity (Storage Space).  The ratio of storage deliverability to storage space offered by a storage provider can vary to meet different withdrawal needs.  The service is generally firm up to the Maximum Daily Withdrawal Quantity (MDWQ or MDQ) during the withdrawal period and up to the Maximum Daily Injection Quantity (MDIQ) during the injection period.</w:t>
      </w:r>
    </w:p>
    <w:p>
      <w:pPr>
        <w:pStyle w:val="eeaopen"/>
        <w:spacing w:lineRule="auto" w:line="240"/>
        <w:rPr/>
      </w:pPr>
      <w:r>
        <w:rPr/>
      </w:r>
    </w:p>
    <w:p>
      <w:pPr>
        <w:pStyle w:val="eeaopen"/>
        <w:spacing w:lineRule="auto" w:line="240"/>
        <w:rPr/>
      </w:pPr>
      <w:r>
        <w:rPr/>
        <w:t xml:space="preserve">Some operators have limits on the amount of gas allowed to remain in storage at the end of the storage withdrawal period.  Typically, the Buyer can have no more than 10 to 20 percent of its maximum storage quantity in storage at the end of the withdrawal period.  Also, the MDWQ may not be uniform over the storage withdrawal season.  It can be a function of the time period, or the buyer’s working gas level. </w:t>
      </w:r>
    </w:p>
    <w:p>
      <w:pPr>
        <w:pStyle w:val="eeaopen"/>
        <w:spacing w:lineRule="auto" w:line="240"/>
        <w:rPr/>
      </w:pPr>
      <w:r>
        <w:rPr/>
      </w:r>
    </w:p>
    <w:p>
      <w:pPr>
        <w:pStyle w:val="eeaopen"/>
        <w:spacing w:lineRule="auto" w:line="240"/>
        <w:rPr/>
      </w:pPr>
      <w:r>
        <w:rPr/>
        <w:t xml:space="preserve">Firm storage rates generally include a fixed charge per Decatherm (the same as MMBtu) of maximum daily deliverability, a fixed charge per Decatherm for the maximum capacity, or space, and variable injection and withdrawal charges per unit of gas injected or withdrawn from storage. </w:t>
      </w:r>
    </w:p>
    <w:p>
      <w:pPr>
        <w:pStyle w:val="eeaopen"/>
        <w:spacing w:lineRule="auto" w:line="240"/>
        <w:rPr/>
      </w:pPr>
      <w:r>
        <w:rPr/>
      </w:r>
    </w:p>
    <w:p>
      <w:pPr>
        <w:pStyle w:val="Heading3"/>
        <w:ind w:hanging="0" w:start="0"/>
        <w:rPr/>
      </w:pPr>
      <w:r>
        <w:rPr/>
        <w:t>2)  Delivered Firm Storage Service</w:t>
      </w:r>
    </w:p>
    <w:p>
      <w:pPr>
        <w:pStyle w:val="eeaopen"/>
        <w:spacing w:lineRule="auto" w:line="240"/>
        <w:rPr/>
      </w:pPr>
      <w:r>
        <w:rPr/>
        <w:t>Firm delivered gas service “bundles” storage and transportation services.  This service is available as both a nominated service and as a no-notice storage service.  This service is similar to the typical “bundled” pipeline services routinely available before implementation of FERC Order 636, but currently is offered by only a few pipelines.</w:t>
      </w:r>
    </w:p>
    <w:p>
      <w:pPr>
        <w:pStyle w:val="eeaopen"/>
        <w:spacing w:lineRule="auto" w:line="240"/>
        <w:rPr/>
      </w:pPr>
      <w:r>
        <w:rPr/>
      </w:r>
    </w:p>
    <w:p>
      <w:pPr>
        <w:pStyle w:val="Heading3"/>
        <w:ind w:hanging="0" w:start="0"/>
        <w:rPr/>
      </w:pPr>
      <w:r>
        <w:rPr/>
        <w:t>3)  Interruptible Storage Service</w:t>
      </w:r>
    </w:p>
    <w:p>
      <w:pPr>
        <w:pStyle w:val="eeaopen"/>
        <w:spacing w:lineRule="auto" w:line="240"/>
        <w:rPr/>
      </w:pPr>
      <w:r>
        <w:rPr/>
        <w:t>Interruptible storage services provide natural gas storage on a lower priority than firm storage services.  Withdrawal and injection services are provided on an availability basis, with firm customers taking priority.  The buyer can deliver gas for injection when excess injection capacity is available, and withdraw gas from storage when excess withdrawal capacity is available.  In 1997, interruptible storage volumes accounted for 8.5 percent of total storage volumes, while interruptible storage revenues accounted for 1.4 percent of total storage revenues.</w:t>
      </w:r>
    </w:p>
    <w:p>
      <w:pPr>
        <w:pStyle w:val="eeaopen"/>
        <w:spacing w:lineRule="auto" w:line="240"/>
        <w:rPr/>
      </w:pPr>
      <w:r>
        <w:rPr/>
      </w:r>
    </w:p>
    <w:p>
      <w:pPr>
        <w:pStyle w:val="eeaopen"/>
        <w:spacing w:lineRule="auto" w:line="240"/>
        <w:rPr/>
      </w:pPr>
      <w:r>
        <w:rPr/>
        <w:t xml:space="preserve">Some storage operators may require interruptible customers to withdraw all gas from storage within a specified time frame, generally 30 to 45 days after injection, or after notification by the storage operator.  If the gas is not withdrawn on time, the storage customer may loose title to the gas. </w:t>
      </w:r>
    </w:p>
    <w:p>
      <w:pPr>
        <w:pStyle w:val="eeaopen"/>
        <w:spacing w:lineRule="auto" w:line="240"/>
        <w:rPr/>
      </w:pPr>
      <w:r>
        <w:rPr/>
      </w:r>
    </w:p>
    <w:p>
      <w:pPr>
        <w:pStyle w:val="eeaopen"/>
        <w:spacing w:lineRule="auto" w:line="240"/>
        <w:rPr/>
      </w:pPr>
      <w:r>
        <w:rPr/>
        <w:t xml:space="preserve">Interruptible storage rates may include a capacity charge based on actual gas in storage, as well as injection and withdrawal fees.  However, deliverability capacity charges are not applicable. </w:t>
      </w:r>
    </w:p>
    <w:p>
      <w:pPr>
        <w:pStyle w:val="eeaopen"/>
        <w:spacing w:lineRule="auto" w:line="240"/>
        <w:rPr/>
      </w:pPr>
      <w:r>
        <w:rPr/>
      </w:r>
    </w:p>
    <w:p>
      <w:pPr>
        <w:pStyle w:val="Heading3"/>
        <w:ind w:hanging="0" w:start="0"/>
        <w:rPr/>
      </w:pPr>
      <w:r>
        <w:rPr/>
        <w:t xml:space="preserve">4)  Storage Peaking Services </w:t>
      </w:r>
    </w:p>
    <w:p>
      <w:pPr>
        <w:pStyle w:val="eeaopen"/>
        <w:spacing w:lineRule="auto" w:line="240"/>
        <w:rPr/>
      </w:pPr>
      <w:r>
        <w:rPr/>
        <w:t>Peaking storage services generally consist of injection, storage and withdrawal of buyer’s gas with a very high level of deliverability relative to the space.  The rates for storage peaking service frequently have the same costs for maximum deliverability, and higher volumetric costs for injection and withdrawal relative to longer-term seasonal storage.</w:t>
      </w:r>
    </w:p>
    <w:p>
      <w:pPr>
        <w:pStyle w:val="eeaopen"/>
        <w:spacing w:lineRule="auto" w:line="240"/>
        <w:rPr/>
      </w:pPr>
      <w:r>
        <w:rPr/>
      </w:r>
    </w:p>
    <w:p>
      <w:pPr>
        <w:pStyle w:val="Heading3"/>
        <w:ind w:hanging="0" w:start="0"/>
        <w:rPr/>
      </w:pPr>
      <w:r>
        <w:rPr/>
        <w:t xml:space="preserve">5)  No-Notice Service </w:t>
      </w:r>
    </w:p>
    <w:p>
      <w:pPr>
        <w:pStyle w:val="eeaopen"/>
        <w:spacing w:lineRule="auto" w:line="240"/>
        <w:rPr/>
      </w:pPr>
      <w:r>
        <w:rPr/>
        <w:t xml:space="preserve">FERC Order 636 required all pipelines to offer No-Notice Service to existing customers as part of the pipeline unbundling process.  No-Notice Service provides for firm service to the customer’s delivery point to meet differences between actual customer takes and nominated transportation.  While this service is nominally a transportation service, it requires pipeline flexibility provided by underground storage and line pack. </w:t>
      </w:r>
    </w:p>
    <w:p>
      <w:pPr>
        <w:pStyle w:val="eeaopen"/>
        <w:spacing w:lineRule="auto" w:line="240"/>
        <w:rPr/>
      </w:pPr>
      <w:r>
        <w:rPr/>
      </w:r>
    </w:p>
    <w:p>
      <w:pPr>
        <w:pStyle w:val="Heading3"/>
        <w:ind w:hanging="0" w:start="0"/>
        <w:rPr/>
      </w:pPr>
      <w:r>
        <w:rPr/>
        <w:t>6)  Market Center Services</w:t>
      </w:r>
    </w:p>
    <w:p>
      <w:pPr>
        <w:pStyle w:val="eeaopen"/>
        <w:spacing w:lineRule="auto" w:line="240"/>
        <w:rPr/>
      </w:pPr>
      <w:r>
        <w:rPr/>
        <w:t xml:space="preserve">Market Center Services are generally provided at market hubs in order to facilitate gas transfers, balancing, and exchanges.  Typical services with defined tariffs include Parking Services, Loan Services, and Wheeling Services.  Market Center Services are generally provided on the lowest priority basis, with other interruptible services taking priority.  </w:t>
      </w:r>
    </w:p>
    <w:p>
      <w:pPr>
        <w:pStyle w:val="eeaopen"/>
        <w:spacing w:lineRule="auto" w:line="240"/>
        <w:rPr/>
      </w:pPr>
      <w:r>
        <w:rPr/>
      </w:r>
    </w:p>
    <w:p>
      <w:pPr>
        <w:pStyle w:val="eeaopen"/>
        <w:spacing w:lineRule="auto" w:line="240"/>
        <w:rPr/>
      </w:pPr>
      <w:r>
        <w:rPr/>
        <w:t>Generally the storage provider can require the customer to reconcile their account (either remove excess gas from storage, or return borrowed gas) within a fixed time period, ranging from 15 to 45 days for parking and loan services, to as low as 48 hours for some market balancing services.  Failure to remove excess gas from storage within the required time period can result in the loss of title to the gas, or other penalty as specified by tariff.</w:t>
      </w:r>
    </w:p>
    <w:p>
      <w:pPr>
        <w:pStyle w:val="eeaopen"/>
        <w:spacing w:lineRule="auto" w:line="240"/>
        <w:rPr/>
      </w:pPr>
      <w:r>
        <w:rPr/>
      </w:r>
    </w:p>
    <w:p>
      <w:pPr>
        <w:pStyle w:val="eeaopen"/>
        <w:spacing w:lineRule="auto" w:line="240" w:before="0" w:after="120"/>
        <w:rPr/>
      </w:pPr>
      <w:r>
        <w:rPr/>
        <w:t>Market center services include:</w:t>
      </w:r>
    </w:p>
    <w:p>
      <w:pPr>
        <w:pStyle w:val="ListBullet"/>
        <w:numPr>
          <w:ilvl w:val="0"/>
          <w:numId w:val="6"/>
        </w:numPr>
        <w:ind w:hanging="0" w:start="0"/>
        <w:rPr/>
      </w:pPr>
      <w:r>
        <w:rPr/>
        <w:t>Market Balancing Services: Provides for short term balancing between buyer nominations and actual use.  The customer has the right to take gas at a delivery point in excess of the sum of its receipts for transportation, up to the nominated withdrawal quantity.  The customer also has the right not to take gas by a quantity less than the sum of its receipts for transportation so long as such quantity does not exceed the nominated injection quantity.  This service often requires much shorter-term account reconciliation (frequently within 48 hours from the time of notification) than alternative gas parking and gas loan services.</w:t>
      </w:r>
    </w:p>
    <w:p>
      <w:pPr>
        <w:pStyle w:val="ListBullet"/>
        <w:numPr>
          <w:ilvl w:val="0"/>
          <w:numId w:val="6"/>
        </w:numPr>
        <w:ind w:hanging="0" w:start="0"/>
        <w:rPr/>
      </w:pPr>
      <w:r>
        <w:rPr/>
        <w:t>Parking Services: Allows the customer to inject excess gas into short-term storage.  Upon nomination by the customer, the storage operator will receive a quantity of gas at a Parking Point and hold the gas on its system for up to a set number of days (typically 15 to 30 days.)  The parked gas can then be withdrawn on an interruptible basis at the Parking Point.</w:t>
      </w:r>
    </w:p>
    <w:p>
      <w:pPr>
        <w:pStyle w:val="ListBullet"/>
        <w:numPr>
          <w:ilvl w:val="0"/>
          <w:numId w:val="6"/>
        </w:numPr>
        <w:ind w:hanging="0" w:start="0"/>
        <w:rPr/>
      </w:pPr>
      <w:r>
        <w:rPr/>
        <w:t>Loan Services: Allows the buyer to withdraw gas from storage beyond nominated volumes, or withdraw more gas from storage than the customer has on account.  Loan Services typically consist of the provider’s advancement (loan) up to the Maximum Balance Quantity, and the customers’ redelivery of the loaned quantities at the Loan Point within a specified number of days.</w:t>
      </w:r>
    </w:p>
    <w:p>
      <w:pPr>
        <w:pStyle w:val="EEAHead1"/>
        <w:tabs>
          <w:tab w:val="clear" w:pos="720"/>
        </w:tabs>
        <w:rPr>
          <w:rFonts w:ascii="Arial" w:hAnsi="Arial" w:cs="Arial"/>
          <w:caps w:val="false"/>
          <w:smallCaps w:val="false"/>
        </w:rPr>
      </w:pPr>
      <w:r>
        <w:rPr>
          <w:rFonts w:cs="Arial" w:ascii="Arial" w:hAnsi="Arial"/>
          <w:caps w:val="false"/>
          <w:smallCaps w:val="false"/>
        </w:rPr>
      </w:r>
    </w:p>
    <w:p>
      <w:pPr>
        <w:pStyle w:val="Heading3"/>
        <w:ind w:hanging="0" w:start="0"/>
        <w:rPr/>
      </w:pPr>
      <w:r>
        <w:rPr/>
        <w:t xml:space="preserve">7)  Liquefaction Storage Service </w:t>
      </w:r>
    </w:p>
    <w:p>
      <w:pPr>
        <w:pStyle w:val="eeaopen"/>
        <w:spacing w:lineRule="auto" w:line="240"/>
        <w:rPr/>
      </w:pPr>
      <w:r>
        <w:rPr/>
        <w:t>Liquefaction storage service consists of the liquefaction, storage and delivery of natural gas.  The gas can be delivered via vaporization and injection into the pipeline system, or by the delivery of liquefied gas into LNG trucks or other LNG carriers.  LNG is typically used as a peaking service.  Both firm and interruptible storage services are available.  Rates typically include  liquefaction and vaporization charges, as well as storage capacity and deliverability charges.</w:t>
      </w:r>
    </w:p>
    <w:p>
      <w:pPr>
        <w:pStyle w:val="Normal"/>
        <w:numPr>
          <w:ilvl w:val="0"/>
          <w:numId w:val="0"/>
        </w:numPr>
        <w:ind w:hanging="0" w:start="0"/>
        <w:rPr/>
      </w:pPr>
      <w:r>
        <w:rPr/>
      </w:r>
    </w:p>
    <w:p>
      <w:pPr>
        <w:pStyle w:val="Normal"/>
        <w:numPr>
          <w:ilvl w:val="0"/>
          <w:numId w:val="0"/>
        </w:numPr>
        <w:ind w:hanging="0" w:start="0"/>
        <w:rPr/>
      </w:pPr>
      <w:r>
        <w:rPr/>
      </w:r>
    </w:p>
    <w:p>
      <w:pPr>
        <w:pStyle w:val="Heading2"/>
        <w:ind w:hanging="0" w:start="0"/>
        <w:rPr/>
      </w:pPr>
      <w:r>
        <w:rPr/>
        <w:t>4.2</w:t>
        <w:tab/>
        <w:t>Volumes and Revenues by Type of Storage Service</w:t>
      </w:r>
    </w:p>
    <w:p>
      <w:pPr>
        <w:pStyle w:val="eeaopen"/>
        <w:numPr>
          <w:ilvl w:val="0"/>
          <w:numId w:val="0"/>
        </w:numPr>
        <w:spacing w:lineRule="auto" w:line="240"/>
        <w:ind w:hanging="0" w:start="0"/>
        <w:rPr/>
      </w:pPr>
      <w:r>
        <w:rPr/>
        <w:t>Storage volumes and revenues disaggregated by type of service are not readily available.  However, the FERC Form 2 requires pipelines to file revenue and volume information by rate class for storage services provided to others (excluding their own storage use).  Exhibit 4-1 provides storage volumes and revenues by type of service based on FERC Form 2 data aggregated from 15 of the largest interstate storage providers representing about 88 percent of total firm interstate storage capacity under contract.</w:t>
      </w:r>
    </w:p>
    <w:p>
      <w:pPr>
        <w:pStyle w:val="eeaopen"/>
        <w:numPr>
          <w:ilvl w:val="0"/>
          <w:numId w:val="0"/>
        </w:numPr>
        <w:spacing w:lineRule="auto" w:line="240"/>
        <w:ind w:hanging="0" w:start="0"/>
        <w:rPr/>
      </w:pPr>
      <w:r>
        <w:rPr/>
      </w:r>
    </w:p>
    <w:p>
      <w:pPr>
        <w:pStyle w:val="eeaopen"/>
        <w:numPr>
          <w:ilvl w:val="0"/>
          <w:numId w:val="0"/>
        </w:numPr>
        <w:spacing w:lineRule="auto" w:line="240"/>
        <w:ind w:hanging="0" w:start="0"/>
        <w:rPr/>
      </w:pPr>
      <w:r>
        <w:rPr/>
        <w:t>Exhibit 4-1 highlights the importance of firm storage service, both in terms of storage volumes, and storage revenues.  In 1998, firm storage service accounted for almost 79 percent of storage throughput, and more than 97 percent of storage revenues.  Balancing, market hub, and parking services accounted for most of the remaining storage throughput volumes (almost 16 percent), but less than one percent of total storage revenues reported on FERC Form 2.</w:t>
      </w:r>
    </w:p>
    <w:p>
      <w:pPr>
        <w:pStyle w:val="eeaopen"/>
        <w:numPr>
          <w:ilvl w:val="0"/>
          <w:numId w:val="0"/>
        </w:numPr>
        <w:spacing w:lineRule="auto" w:line="240"/>
        <w:ind w:hanging="0" w:start="0"/>
        <w:rPr>
          <w:b/>
        </w:rPr>
      </w:pPr>
      <w:r>
        <w:rPr>
          <w:b/>
        </w:rPr>
      </w:r>
    </w:p>
    <w:p>
      <w:pPr>
        <w:pStyle w:val="eeaopen"/>
        <w:numPr>
          <w:ilvl w:val="0"/>
          <w:numId w:val="0"/>
        </w:numPr>
        <w:spacing w:lineRule="auto" w:line="240"/>
        <w:ind w:hanging="1350" w:start="1350" w:end="0"/>
        <w:jc w:val="center"/>
        <w:rPr>
          <w:rFonts w:ascii="Arial" w:hAnsi="Arial" w:cs="Arial"/>
          <w:b/>
        </w:rPr>
      </w:pPr>
      <w:r>
        <w:rPr>
          <w:rFonts w:cs="Arial" w:ascii="Arial" w:hAnsi="Arial"/>
          <w:b/>
        </w:rPr>
        <w:t>Exhibit 4-1</w:t>
      </w:r>
    </w:p>
    <w:p>
      <w:pPr>
        <w:pStyle w:val="eeaopen"/>
        <w:numPr>
          <w:ilvl w:val="0"/>
          <w:numId w:val="0"/>
        </w:numPr>
        <w:spacing w:lineRule="auto" w:line="240"/>
        <w:ind w:hanging="1350" w:start="1350" w:end="0"/>
        <w:jc w:val="center"/>
        <w:rPr>
          <w:rFonts w:ascii="Arial" w:hAnsi="Arial" w:cs="Arial"/>
          <w:b/>
        </w:rPr>
      </w:pPr>
      <w:r>
        <w:rPr>
          <w:rFonts w:cs="Arial" w:ascii="Arial" w:hAnsi="Arial"/>
          <w:b/>
        </w:rPr>
        <w:t>Storage Volumes and Revenues</w:t>
      </w:r>
    </w:p>
    <w:p>
      <w:pPr>
        <w:pStyle w:val="eeaopen"/>
        <w:numPr>
          <w:ilvl w:val="0"/>
          <w:numId w:val="0"/>
        </w:numPr>
        <w:spacing w:lineRule="auto" w:line="240"/>
        <w:ind w:hanging="1350" w:start="1350" w:end="0"/>
        <w:jc w:val="center"/>
        <w:rPr>
          <w:rFonts w:ascii="Arial" w:hAnsi="Arial" w:cs="Arial"/>
          <w:b/>
        </w:rPr>
      </w:pPr>
      <w:r>
        <w:rPr>
          <w:rFonts w:cs="Arial" w:ascii="Arial" w:hAnsi="Arial"/>
          <w:b/>
        </w:rPr>
        <w:t>For Major Storage Providers By Type of Service</w:t>
      </w:r>
    </w:p>
    <w:p>
      <w:pPr>
        <w:pStyle w:val="eeaopen"/>
        <w:numPr>
          <w:ilvl w:val="0"/>
          <w:numId w:val="0"/>
        </w:numPr>
        <w:spacing w:lineRule="auto" w:line="240"/>
        <w:ind w:hanging="0" w:start="0"/>
        <w:rPr>
          <w:rFonts w:ascii="Arial" w:hAnsi="Arial" w:cs="Arial"/>
          <w:b/>
        </w:rPr>
      </w:pPr>
      <w:r>
        <w:rPr>
          <w:rFonts w:cs="Arial" w:ascii="Arial" w:hAnsi="Arial"/>
          <w:b/>
        </w:rPr>
      </w:r>
    </w:p>
    <w:tbl>
      <w:tblPr>
        <w:tblW w:w="7947" w:type="dxa"/>
        <w:jc w:val="center"/>
        <w:tblInd w:w="0" w:type="dxa"/>
        <w:tblLayout w:type="fixed"/>
        <w:tblCellMar>
          <w:top w:w="0" w:type="dxa"/>
          <w:start w:w="108" w:type="dxa"/>
          <w:bottom w:w="0" w:type="dxa"/>
          <w:end w:w="108" w:type="dxa"/>
        </w:tblCellMar>
      </w:tblPr>
      <w:tblGrid>
        <w:gridCol w:w="2394"/>
        <w:gridCol w:w="1773"/>
        <w:gridCol w:w="1980"/>
        <w:gridCol w:w="1800"/>
      </w:tblGrid>
      <w:tr>
        <w:trPr/>
        <w:tc>
          <w:tcPr>
            <w:tcW w:w="2394" w:type="dxa"/>
            <w:tcBorders>
              <w:top w:val="single" w:sz="6" w:space="0" w:color="000000"/>
              <w:start w:val="single" w:sz="6" w:space="0" w:color="000000"/>
              <w:end w:val="single" w:sz="6" w:space="0" w:color="000000"/>
            </w:tcBorders>
            <w:shd w:fill="E5E5E5" w:val="clear"/>
          </w:tcPr>
          <w:p>
            <w:pPr>
              <w:pStyle w:val="eeaopen"/>
              <w:numPr>
                <w:ilvl w:val="0"/>
                <w:numId w:val="0"/>
              </w:numPr>
              <w:snapToGrid w:val="false"/>
              <w:spacing w:lineRule="auto" w:line="240"/>
              <w:ind w:hanging="0" w:start="0"/>
              <w:rPr>
                <w:b/>
                <w:color w:val="000000"/>
              </w:rPr>
            </w:pPr>
            <w:r>
              <w:rPr>
                <w:b/>
                <w:color w:val="000000"/>
              </w:rPr>
            </w:r>
          </w:p>
        </w:tc>
        <w:tc>
          <w:tcPr>
            <w:tcW w:w="1773" w:type="dxa"/>
            <w:tcBorders>
              <w:top w:val="single" w:sz="6" w:space="0" w:color="000000"/>
              <w:start w:val="single" w:sz="6" w:space="0" w:color="000000"/>
              <w:end w:val="single" w:sz="6" w:space="0" w:color="000000"/>
            </w:tcBorders>
            <w:shd w:fill="E5E5E5" w:val="clear"/>
          </w:tcPr>
          <w:p>
            <w:pPr>
              <w:pStyle w:val="eeaopen"/>
              <w:numPr>
                <w:ilvl w:val="0"/>
                <w:numId w:val="0"/>
              </w:numPr>
              <w:spacing w:lineRule="auto" w:line="240"/>
              <w:ind w:hanging="0" w:start="0"/>
              <w:jc w:val="center"/>
              <w:rPr>
                <w:b/>
                <w:color w:val="000000"/>
              </w:rPr>
            </w:pPr>
            <w:r>
              <w:rPr>
                <w:b/>
                <w:color w:val="000000"/>
              </w:rPr>
              <w:t>Percent of  Throughput Volumes</w:t>
            </w:r>
          </w:p>
        </w:tc>
        <w:tc>
          <w:tcPr>
            <w:tcW w:w="1980" w:type="dxa"/>
            <w:tcBorders>
              <w:top w:val="single" w:sz="6" w:space="0" w:color="000000"/>
              <w:start w:val="single" w:sz="6" w:space="0" w:color="000000"/>
              <w:end w:val="single" w:sz="6" w:space="0" w:color="000000"/>
            </w:tcBorders>
            <w:shd w:fill="E5E5E5" w:val="clear"/>
          </w:tcPr>
          <w:p>
            <w:pPr>
              <w:pStyle w:val="eeaopen"/>
              <w:numPr>
                <w:ilvl w:val="0"/>
                <w:numId w:val="0"/>
              </w:numPr>
              <w:spacing w:lineRule="auto" w:line="240"/>
              <w:ind w:hanging="0" w:start="0"/>
              <w:jc w:val="center"/>
              <w:rPr>
                <w:b/>
                <w:color w:val="000000"/>
              </w:rPr>
            </w:pPr>
            <w:r>
              <w:rPr>
                <w:b/>
                <w:color w:val="000000"/>
              </w:rPr>
              <w:t>Percent of  Storage Revenues</w:t>
            </w:r>
          </w:p>
        </w:tc>
        <w:tc>
          <w:tcPr>
            <w:tcW w:w="1800" w:type="dxa"/>
            <w:tcBorders>
              <w:top w:val="single" w:sz="6" w:space="0" w:color="000000"/>
              <w:start w:val="single" w:sz="6" w:space="0" w:color="000000"/>
              <w:end w:val="single" w:sz="6" w:space="0" w:color="000000"/>
            </w:tcBorders>
            <w:shd w:fill="E5E5E5" w:val="clear"/>
          </w:tcPr>
          <w:p>
            <w:pPr>
              <w:pStyle w:val="eeaopen"/>
              <w:numPr>
                <w:ilvl w:val="0"/>
                <w:numId w:val="0"/>
              </w:numPr>
              <w:spacing w:lineRule="auto" w:line="240"/>
              <w:ind w:hanging="0" w:start="0"/>
              <w:jc w:val="center"/>
              <w:rPr>
                <w:b/>
                <w:color w:val="000000"/>
              </w:rPr>
            </w:pPr>
            <w:r>
              <w:rPr>
                <w:b/>
                <w:color w:val="000000"/>
              </w:rPr>
              <w:t xml:space="preserve">Average Revenue </w:t>
            </w:r>
          </w:p>
          <w:p>
            <w:pPr>
              <w:pStyle w:val="eeaopen"/>
              <w:numPr>
                <w:ilvl w:val="0"/>
                <w:numId w:val="0"/>
              </w:numPr>
              <w:spacing w:lineRule="auto" w:line="240"/>
              <w:ind w:hanging="0" w:start="0"/>
              <w:jc w:val="center"/>
              <w:rPr>
                <w:b/>
                <w:color w:val="000000"/>
              </w:rPr>
            </w:pPr>
            <w:r>
              <w:rPr>
                <w:b/>
                <w:color w:val="000000"/>
              </w:rPr>
              <w:t xml:space="preserve"> </w:t>
            </w:r>
            <w:r>
              <w:rPr>
                <w:b/>
                <w:color w:val="000000"/>
              </w:rPr>
              <w:t>($/Dth)</w:t>
            </w:r>
          </w:p>
        </w:tc>
      </w:tr>
      <w:tr>
        <w:trPr/>
        <w:tc>
          <w:tcPr>
            <w:tcW w:w="2394" w:type="dxa"/>
            <w:tcBorders>
              <w:top w:val="single" w:sz="6" w:space="0" w:color="000000"/>
              <w:start w:val="single" w:sz="6" w:space="0" w:color="000080"/>
              <w:bottom w:val="single" w:sz="6" w:space="0" w:color="000080"/>
              <w:end w:val="single" w:sz="6" w:space="0" w:color="000080"/>
            </w:tcBorders>
          </w:tcPr>
          <w:p>
            <w:pPr>
              <w:pStyle w:val="eeaopen"/>
              <w:numPr>
                <w:ilvl w:val="0"/>
                <w:numId w:val="0"/>
              </w:numPr>
              <w:spacing w:lineRule="auto" w:line="240" w:before="240" w:after="240"/>
              <w:ind w:hanging="0" w:start="0"/>
              <w:rPr/>
            </w:pPr>
            <w:r>
              <w:rPr/>
              <w:t>Firm Storage Services</w:t>
            </w:r>
          </w:p>
        </w:tc>
        <w:tc>
          <w:tcPr>
            <w:tcW w:w="1773" w:type="dxa"/>
            <w:tcBorders>
              <w:top w:val="single" w:sz="6" w:space="0" w:color="000000"/>
              <w:start w:val="single" w:sz="6" w:space="0" w:color="000080"/>
              <w:bottom w:val="single" w:sz="6" w:space="0" w:color="000080"/>
              <w:end w:val="single" w:sz="6" w:space="0" w:color="000080"/>
            </w:tcBorders>
          </w:tcPr>
          <w:p>
            <w:pPr>
              <w:pStyle w:val="eeaopen"/>
              <w:numPr>
                <w:ilvl w:val="0"/>
                <w:numId w:val="0"/>
              </w:numPr>
              <w:spacing w:lineRule="auto" w:line="240" w:before="240" w:after="240"/>
              <w:ind w:hanging="0" w:start="0" w:end="445"/>
              <w:jc w:val="end"/>
              <w:rPr/>
            </w:pPr>
            <w:r>
              <w:rPr/>
              <w:t>78.6%</w:t>
            </w:r>
          </w:p>
        </w:tc>
        <w:tc>
          <w:tcPr>
            <w:tcW w:w="1980" w:type="dxa"/>
            <w:tcBorders>
              <w:top w:val="single" w:sz="6" w:space="0" w:color="000000"/>
              <w:start w:val="single" w:sz="6" w:space="0" w:color="000080"/>
              <w:bottom w:val="single" w:sz="6" w:space="0" w:color="000080"/>
              <w:end w:val="single" w:sz="6" w:space="0" w:color="000080"/>
            </w:tcBorders>
          </w:tcPr>
          <w:p>
            <w:pPr>
              <w:pStyle w:val="eeaopen"/>
              <w:numPr>
                <w:ilvl w:val="0"/>
                <w:numId w:val="0"/>
              </w:numPr>
              <w:tabs>
                <w:tab w:val="clear" w:pos="720"/>
                <w:tab w:val="left" w:pos="1229" w:leader="none"/>
              </w:tabs>
              <w:spacing w:lineRule="auto" w:line="240" w:before="240" w:after="240"/>
              <w:ind w:hanging="0" w:start="0" w:end="625"/>
              <w:jc w:val="end"/>
              <w:rPr/>
            </w:pPr>
            <w:r>
              <w:rPr/>
              <w:t>97.1%</w:t>
            </w:r>
          </w:p>
        </w:tc>
        <w:tc>
          <w:tcPr>
            <w:tcW w:w="1800" w:type="dxa"/>
            <w:tcBorders>
              <w:top w:val="single" w:sz="6" w:space="0" w:color="000000"/>
              <w:start w:val="single" w:sz="6" w:space="0" w:color="000080"/>
              <w:bottom w:val="single" w:sz="6" w:space="0" w:color="000080"/>
              <w:end w:val="single" w:sz="6" w:space="0" w:color="000080"/>
            </w:tcBorders>
          </w:tcPr>
          <w:p>
            <w:pPr>
              <w:pStyle w:val="eeaopen"/>
              <w:numPr>
                <w:ilvl w:val="0"/>
                <w:numId w:val="0"/>
              </w:numPr>
              <w:spacing w:lineRule="auto" w:line="240" w:before="240" w:after="240"/>
              <w:ind w:hanging="0" w:start="0" w:end="355"/>
              <w:jc w:val="end"/>
              <w:rPr/>
            </w:pPr>
            <w:r>
              <w:rPr/>
              <w:t>$0.538</w:t>
            </w:r>
          </w:p>
        </w:tc>
      </w:tr>
      <w:tr>
        <w:trPr/>
        <w:tc>
          <w:tcPr>
            <w:tcW w:w="2394"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120" w:after="120"/>
              <w:ind w:hanging="0" w:start="0"/>
              <w:rPr/>
            </w:pPr>
            <w:r>
              <w:rPr/>
              <w:t>Interruptible Storage Services</w:t>
            </w:r>
          </w:p>
        </w:tc>
        <w:tc>
          <w:tcPr>
            <w:tcW w:w="1773"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240" w:after="120"/>
              <w:ind w:hanging="0" w:start="0" w:end="445"/>
              <w:jc w:val="end"/>
              <w:rPr/>
            </w:pPr>
            <w:r>
              <w:rPr/>
              <w:t>5.1%</w:t>
            </w:r>
          </w:p>
        </w:tc>
        <w:tc>
          <w:tcPr>
            <w:tcW w:w="198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tabs>
                <w:tab w:val="clear" w:pos="720"/>
                <w:tab w:val="left" w:pos="1229" w:leader="none"/>
              </w:tabs>
              <w:spacing w:lineRule="auto" w:line="240" w:before="240" w:after="120"/>
              <w:ind w:hanging="0" w:start="0" w:end="625"/>
              <w:jc w:val="end"/>
              <w:rPr/>
            </w:pPr>
            <w:r>
              <w:rPr/>
              <w:t>1.5%</w:t>
            </w:r>
          </w:p>
        </w:tc>
        <w:tc>
          <w:tcPr>
            <w:tcW w:w="180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240" w:after="120"/>
              <w:ind w:hanging="0" w:start="0" w:end="355"/>
              <w:jc w:val="end"/>
              <w:rPr/>
            </w:pPr>
            <w:r>
              <w:rPr/>
              <w:t>$0.132</w:t>
            </w:r>
          </w:p>
        </w:tc>
      </w:tr>
      <w:tr>
        <w:trPr/>
        <w:tc>
          <w:tcPr>
            <w:tcW w:w="2394"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120" w:after="120"/>
              <w:ind w:hanging="0" w:start="0"/>
              <w:rPr/>
            </w:pPr>
            <w:r>
              <w:rPr/>
              <w:t>Balancing, Market Hub and Parking Services</w:t>
            </w:r>
          </w:p>
        </w:tc>
        <w:tc>
          <w:tcPr>
            <w:tcW w:w="1773"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360" w:after="120"/>
              <w:ind w:hanging="0" w:start="0" w:end="445"/>
              <w:jc w:val="end"/>
              <w:rPr/>
            </w:pPr>
            <w:r>
              <w:rPr/>
              <w:t>15.8%</w:t>
            </w:r>
          </w:p>
        </w:tc>
        <w:tc>
          <w:tcPr>
            <w:tcW w:w="198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tabs>
                <w:tab w:val="clear" w:pos="720"/>
                <w:tab w:val="left" w:pos="1229" w:leader="none"/>
              </w:tabs>
              <w:spacing w:lineRule="auto" w:line="240" w:before="360" w:after="120"/>
              <w:ind w:hanging="0" w:start="0" w:end="625"/>
              <w:jc w:val="end"/>
              <w:rPr/>
            </w:pPr>
            <w:r>
              <w:rPr/>
              <w:t>0.2%</w:t>
            </w:r>
          </w:p>
        </w:tc>
        <w:tc>
          <w:tcPr>
            <w:tcW w:w="180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360" w:after="120"/>
              <w:ind w:hanging="0" w:start="0" w:end="355"/>
              <w:jc w:val="end"/>
              <w:rPr/>
            </w:pPr>
            <w:r>
              <w:rPr/>
              <w:t>$0.006</w:t>
            </w:r>
          </w:p>
        </w:tc>
      </w:tr>
      <w:tr>
        <w:trPr/>
        <w:tc>
          <w:tcPr>
            <w:tcW w:w="2394"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120" w:after="120"/>
              <w:ind w:hanging="0" w:start="0"/>
              <w:rPr/>
            </w:pPr>
            <w:r>
              <w:rPr/>
              <w:t>Other Storage Services</w:t>
            </w:r>
          </w:p>
        </w:tc>
        <w:tc>
          <w:tcPr>
            <w:tcW w:w="1773"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240" w:after="120"/>
              <w:ind w:hanging="0" w:start="0" w:end="445"/>
              <w:jc w:val="end"/>
              <w:rPr/>
            </w:pPr>
            <w:r>
              <w:rPr/>
              <w:t>0.5%</w:t>
            </w:r>
          </w:p>
        </w:tc>
        <w:tc>
          <w:tcPr>
            <w:tcW w:w="198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tabs>
                <w:tab w:val="clear" w:pos="720"/>
                <w:tab w:val="left" w:pos="1229" w:leader="none"/>
              </w:tabs>
              <w:spacing w:lineRule="auto" w:line="240" w:before="240" w:after="120"/>
              <w:ind w:hanging="0" w:start="0" w:end="625"/>
              <w:jc w:val="end"/>
              <w:rPr/>
            </w:pPr>
            <w:r>
              <w:rPr/>
              <w:t>1.2%</w:t>
            </w:r>
          </w:p>
        </w:tc>
        <w:tc>
          <w:tcPr>
            <w:tcW w:w="1800" w:type="dxa"/>
            <w:tcBorders>
              <w:top w:val="single" w:sz="6" w:space="0" w:color="000080"/>
              <w:start w:val="single" w:sz="6" w:space="0" w:color="000080"/>
              <w:bottom w:val="single" w:sz="6" w:space="0" w:color="000080"/>
              <w:end w:val="single" w:sz="6" w:space="0" w:color="000080"/>
            </w:tcBorders>
          </w:tcPr>
          <w:p>
            <w:pPr>
              <w:pStyle w:val="eeaopen"/>
              <w:numPr>
                <w:ilvl w:val="0"/>
                <w:numId w:val="0"/>
              </w:numPr>
              <w:spacing w:lineRule="auto" w:line="240" w:before="240" w:after="120"/>
              <w:ind w:hanging="0" w:start="0" w:end="355"/>
              <w:jc w:val="end"/>
              <w:rPr/>
            </w:pPr>
            <w:r>
              <w:rPr/>
              <w:t>$1.021</w:t>
            </w:r>
          </w:p>
        </w:tc>
      </w:tr>
    </w:tbl>
    <w:p>
      <w:pPr>
        <w:pStyle w:val="eeaopen"/>
        <w:numPr>
          <w:ilvl w:val="0"/>
          <w:numId w:val="0"/>
        </w:numPr>
        <w:tabs>
          <w:tab w:val="clear" w:pos="720"/>
          <w:tab w:val="left" w:pos="810" w:leader="none"/>
        </w:tabs>
        <w:spacing w:lineRule="auto" w:line="240"/>
        <w:ind w:hanging="0" w:start="0"/>
        <w:rPr/>
      </w:pPr>
      <w:r>
        <w:rPr/>
      </w:r>
    </w:p>
    <w:p>
      <w:pPr>
        <w:pStyle w:val="eeaopen"/>
        <w:numPr>
          <w:ilvl w:val="0"/>
          <w:numId w:val="0"/>
        </w:numPr>
        <w:tabs>
          <w:tab w:val="clear" w:pos="720"/>
          <w:tab w:val="left" w:pos="810" w:leader="none"/>
        </w:tabs>
        <w:spacing w:lineRule="auto" w:line="240"/>
        <w:ind w:hanging="0" w:start="0"/>
        <w:rPr/>
      </w:pPr>
      <w:r>
        <w:rPr/>
        <w:t>Source:</w:t>
        <w:tab/>
        <w:t>FERC Form 2 data for fifteen key storage providers.</w:t>
      </w:r>
    </w:p>
    <w:p>
      <w:pPr>
        <w:pStyle w:val="eeaopen"/>
        <w:numPr>
          <w:ilvl w:val="0"/>
          <w:numId w:val="0"/>
        </w:numPr>
        <w:tabs>
          <w:tab w:val="clear" w:pos="720"/>
          <w:tab w:val="left" w:pos="810" w:leader="none"/>
        </w:tabs>
        <w:spacing w:lineRule="auto" w:line="240"/>
        <w:ind w:hanging="0" w:start="0"/>
        <w:rPr/>
      </w:pPr>
      <w:r>
        <w:rPr/>
        <w:t>Notes:</w:t>
        <w:tab/>
        <w:t>Volume and revenue data are limited to storage services and storage gas provided to others.</w:t>
      </w:r>
    </w:p>
    <w:p>
      <w:pPr>
        <w:pStyle w:val="eeaopen"/>
        <w:numPr>
          <w:ilvl w:val="0"/>
          <w:numId w:val="0"/>
        </w:numPr>
        <w:tabs>
          <w:tab w:val="clear" w:pos="720"/>
          <w:tab w:val="left" w:pos="810" w:leader="none"/>
        </w:tabs>
        <w:spacing w:lineRule="auto" w:line="240"/>
        <w:ind w:hanging="0" w:start="0"/>
        <w:rPr/>
      </w:pPr>
      <w:r>
        <w:rPr/>
        <w:tab/>
        <w:t xml:space="preserve">Other Storage Services includes service provided under X-tariff contracts. </w:t>
      </w:r>
    </w:p>
    <w:p>
      <w:pPr>
        <w:pStyle w:val="EEAHead1"/>
        <w:spacing w:before="0" w:after="0"/>
        <w:rPr/>
      </w:pPr>
      <w:r>
        <w:rPr/>
      </w:r>
    </w:p>
    <w:p>
      <w:pPr>
        <w:pStyle w:val="Heading2"/>
        <w:ind w:hanging="0" w:start="0"/>
        <w:rPr/>
      </w:pPr>
      <w:r>
        <w:rPr/>
        <w:t>4.3</w:t>
        <w:tab/>
        <w:t>Storage Customers and Storage Services</w:t>
      </w:r>
    </w:p>
    <w:p>
      <w:pPr>
        <w:pStyle w:val="eeaopen"/>
        <w:spacing w:lineRule="auto" w:line="240"/>
        <w:rPr/>
      </w:pPr>
      <w:r>
        <w:rPr/>
        <w:t>Storage customers have different gas consumption profiles with distinct storage needs.  This section of the report describes the primary uses of storage for different types of customers.</w:t>
      </w:r>
    </w:p>
    <w:p>
      <w:pPr>
        <w:pStyle w:val="eeaopen"/>
        <w:spacing w:lineRule="auto" w:line="240"/>
        <w:rPr/>
      </w:pPr>
      <w:r>
        <w:rPr/>
        <w:t xml:space="preserve"> </w:t>
      </w:r>
    </w:p>
    <w:p>
      <w:pPr>
        <w:pStyle w:val="Heading3"/>
        <w:ind w:hanging="0" w:start="0"/>
        <w:rPr/>
      </w:pPr>
      <w:r>
        <w:rPr/>
        <w:t>Natural Gas Distribution Companies (LDCs)</w:t>
      </w:r>
    </w:p>
    <w:p>
      <w:pPr>
        <w:pStyle w:val="eeaopen"/>
        <w:numPr>
          <w:ilvl w:val="0"/>
          <w:numId w:val="0"/>
        </w:numPr>
        <w:spacing w:lineRule="auto" w:line="240"/>
        <w:ind w:hanging="0" w:start="0"/>
        <w:rPr/>
      </w:pPr>
      <w:r>
        <w:rPr/>
        <w:t xml:space="preserve">Natural gas local distribution companies (LDCs) are the largest users of natural gas storage capacity in the United States.  In 1997, LDCs owned 1,136 Bcf of storage working gas storage capacity, and held an additional 1,294 Bcf of firm interstate storage capacity under contract, for a total of 2,430 Bcf out of the total 1997 U.S. underground working gas capacity of 3,766 Bcf. </w:t>
      </w:r>
    </w:p>
    <w:p>
      <w:pPr>
        <w:pStyle w:val="eeaopen"/>
        <w:spacing w:lineRule="auto" w:line="240"/>
        <w:rPr/>
      </w:pPr>
      <w:r>
        <w:rPr/>
      </w:r>
    </w:p>
    <w:p>
      <w:pPr>
        <w:pStyle w:val="eeaopen"/>
        <w:spacing w:lineRule="auto" w:line="240"/>
        <w:rPr/>
      </w:pPr>
      <w:r>
        <w:rPr/>
        <w:t>While some LDCs do offer unbundled storage services, most LDC controlled storage space is used to provide bundled gas supply services to their own core customers, and for their own system balancing requirements.  Specific uses include:</w:t>
      </w:r>
    </w:p>
    <w:p>
      <w:pPr>
        <w:pStyle w:val="ListBullet"/>
        <w:numPr>
          <w:ilvl w:val="0"/>
          <w:numId w:val="6"/>
        </w:numPr>
        <w:ind w:hanging="0" w:start="0"/>
        <w:rPr/>
      </w:pPr>
      <w:r>
        <w:rPr/>
        <w:t xml:space="preserve">Seasonal Demand: Seasonal load balancing, where storage withdrawals replace the need for additional pipeline capacity in the winter, and storage injections allow fuller use of pipeline capacity during the rest of the year.  </w:t>
      </w:r>
    </w:p>
    <w:p>
      <w:pPr>
        <w:pStyle w:val="ListBullet"/>
        <w:numPr>
          <w:ilvl w:val="0"/>
          <w:numId w:val="6"/>
        </w:numPr>
        <w:ind w:hanging="0" w:start="0"/>
        <w:rPr/>
      </w:pPr>
      <w:r>
        <w:rPr/>
        <w:t>Peaking Demand: Short term, high deliverability storage is used to meet peak demands on a limited number of days during the winter.  The deliverability costs of short-term storage tend to be lower than seasonal storage, while capacity costs tend to be higher.</w:t>
      </w:r>
    </w:p>
    <w:p>
      <w:pPr>
        <w:pStyle w:val="ListBullet"/>
        <w:numPr>
          <w:ilvl w:val="0"/>
          <w:numId w:val="6"/>
        </w:numPr>
        <w:ind w:hanging="0" w:start="0"/>
        <w:rPr/>
      </w:pPr>
      <w:r>
        <w:rPr/>
        <w:t>System Daily Balancing: Storage, particularly market area storage, allows LDCs to meet system balancing requirements without relying on additional pipeline services.</w:t>
      </w:r>
    </w:p>
    <w:p>
      <w:pPr>
        <w:pStyle w:val="ListBullet"/>
        <w:numPr>
          <w:ilvl w:val="0"/>
          <w:numId w:val="6"/>
        </w:numPr>
        <w:ind w:hanging="0" w:start="0"/>
        <w:rPr/>
      </w:pPr>
      <w:r>
        <w:rPr/>
        <w:t xml:space="preserve">Seasonal Gas Price Arbitrage: Storage allows LDCs to arbitrage between winter and summer gas price differentials, both as a hedge to reduce gas price uncertainty, and potentially to speculate on the future price of gas. </w:t>
      </w:r>
    </w:p>
    <w:p>
      <w:pPr>
        <w:pStyle w:val="ListBullet"/>
        <w:numPr>
          <w:ilvl w:val="0"/>
          <w:numId w:val="6"/>
        </w:numPr>
        <w:ind w:hanging="0" w:start="0"/>
        <w:rPr/>
      </w:pPr>
      <w:r>
        <w:rPr/>
        <w:t xml:space="preserve">System Backup/Supply Security: Storage is used as an emergency backup source of gas in the event of a production or pipeline failure, producer non-delivery, or other system failures. </w:t>
      </w:r>
    </w:p>
    <w:p>
      <w:pPr>
        <w:pStyle w:val="Header"/>
        <w:numPr>
          <w:ilvl w:val="0"/>
          <w:numId w:val="0"/>
        </w:numPr>
        <w:tabs>
          <w:tab w:val="clear" w:pos="4320"/>
          <w:tab w:val="clear" w:pos="8640"/>
        </w:tabs>
        <w:ind w:hanging="0" w:start="0"/>
        <w:rPr/>
      </w:pPr>
      <w:r>
        <w:rPr/>
      </w:r>
    </w:p>
    <w:p>
      <w:pPr>
        <w:pStyle w:val="eeaopen"/>
        <w:spacing w:lineRule="auto" w:line="240"/>
        <w:rPr/>
      </w:pPr>
      <w:r>
        <w:rPr/>
        <w:t>Storage also allows some LDCs to provide additional services to non-core customers who purchase transportation services from the LDC on an unbundled basis.  These services are increasingly important in an environment where the LDC is competing with pipelines and other LDCs to service large industrial and power generation customers.  These services may include seasonal storage as well as short term peaking and balancing services.</w:t>
      </w:r>
    </w:p>
    <w:p>
      <w:pPr>
        <w:pStyle w:val="eeaopen"/>
        <w:spacing w:lineRule="auto" w:line="240"/>
        <w:rPr/>
      </w:pPr>
      <w:r>
        <w:rPr/>
      </w:r>
    </w:p>
    <w:p>
      <w:pPr>
        <w:pStyle w:val="Heading3"/>
        <w:ind w:hanging="0" w:start="0"/>
        <w:rPr/>
      </w:pPr>
      <w:r>
        <w:rPr/>
        <w:t>Natural Gas Pipelines</w:t>
      </w:r>
    </w:p>
    <w:p>
      <w:pPr>
        <w:pStyle w:val="eeaopen"/>
        <w:spacing w:lineRule="auto" w:line="240" w:before="0" w:after="120"/>
        <w:rPr/>
      </w:pPr>
      <w:r>
        <w:rPr/>
        <w:t>Natural gas pipelines use a substantial amount of storage to facilitate the operations of the natural gas pipeline system.  Pipeline storage is generally located on or adjacent to the pipeline, but pipelines also regularly contract for storage capacity on other pipelines in order to meet customer storage and system balancing requirements.  Specific uses include:</w:t>
      </w:r>
    </w:p>
    <w:p>
      <w:pPr>
        <w:pStyle w:val="ListBullet"/>
        <w:numPr>
          <w:ilvl w:val="0"/>
          <w:numId w:val="6"/>
        </w:numPr>
        <w:ind w:hanging="0" w:start="0"/>
        <w:rPr/>
      </w:pPr>
      <w:r>
        <w:rPr/>
        <w:t>System Balancing:  Pipeline storage allows the pipeline system to meet unexpected changes in gas demand.</w:t>
      </w:r>
    </w:p>
    <w:p>
      <w:pPr>
        <w:pStyle w:val="ListBullet"/>
        <w:numPr>
          <w:ilvl w:val="0"/>
          <w:numId w:val="6"/>
        </w:numPr>
        <w:ind w:hanging="0" w:start="0"/>
        <w:rPr/>
      </w:pPr>
      <w:r>
        <w:rPr/>
        <w:t>No-Notice Service:  Pipeline storage is generally the supply source used by the pipelines to ensure the ability to provide no-notice transportation service.</w:t>
      </w:r>
    </w:p>
    <w:p>
      <w:pPr>
        <w:pStyle w:val="ListBullet"/>
        <w:numPr>
          <w:ilvl w:val="0"/>
          <w:numId w:val="6"/>
        </w:numPr>
        <w:ind w:hanging="0" w:start="0"/>
        <w:rPr/>
      </w:pPr>
      <w:r>
        <w:rPr/>
        <w:t>System Backup/Supply Security:  Storage is used as an emergency backup source of gas in event of a production or pipeline failure, producer non-delivery, or other system failure.</w:t>
      </w:r>
    </w:p>
    <w:p>
      <w:pPr>
        <w:pStyle w:val="ListBullet"/>
        <w:numPr>
          <w:ilvl w:val="0"/>
          <w:numId w:val="6"/>
        </w:numPr>
        <w:ind w:hanging="0" w:start="0"/>
        <w:rPr/>
      </w:pPr>
      <w:r>
        <w:rPr/>
        <w:t>Market Center Services: Storage capacity allows pipelines to offer a variety of market center services to pipeline customers, including supply balancing, parking, loaning, and wheeling services.</w:t>
      </w:r>
    </w:p>
    <w:p>
      <w:pPr>
        <w:pStyle w:val="ListBullet"/>
        <w:numPr>
          <w:ilvl w:val="0"/>
          <w:numId w:val="6"/>
        </w:numPr>
        <w:ind w:hanging="0" w:start="0"/>
        <w:rPr/>
      </w:pPr>
      <w:r>
        <w:rPr/>
        <w:t>Customer Storage: Pipelines regularly contract for storage on other pipelines’ systems in order to provide storage services to their customers.</w:t>
      </w:r>
    </w:p>
    <w:p>
      <w:pPr>
        <w:pStyle w:val="EEAHead2"/>
        <w:rPr>
          <w:rFonts w:ascii="Arial" w:hAnsi="Arial" w:cs="Arial"/>
        </w:rPr>
      </w:pPr>
      <w:r>
        <w:rPr>
          <w:rFonts w:cs="Arial" w:ascii="Arial" w:hAnsi="Arial"/>
        </w:rPr>
      </w:r>
    </w:p>
    <w:p>
      <w:pPr>
        <w:pStyle w:val="Heading3"/>
        <w:ind w:hanging="0" w:start="0"/>
        <w:rPr/>
      </w:pPr>
      <w:r>
        <w:rPr/>
        <w:t>Natural Gas Producers and Marketers</w:t>
      </w:r>
    </w:p>
    <w:p>
      <w:pPr>
        <w:pStyle w:val="eeaopen"/>
        <w:spacing w:lineRule="auto" w:line="240" w:before="0" w:after="120"/>
        <w:rPr/>
      </w:pPr>
      <w:r>
        <w:rPr/>
        <w:t>Producers and marketers hold about 14 percent of total interstate firm storage capacity under contract, and an unknown amount of NGPA 311 storage and intrastate storage capacity.  Producers and marketers use storage to increase the value of their product and to reduce their own financial risk.  Specific uses include:</w:t>
      </w:r>
    </w:p>
    <w:p>
      <w:pPr>
        <w:pStyle w:val="ListBullet"/>
        <w:numPr>
          <w:ilvl w:val="0"/>
          <w:numId w:val="6"/>
        </w:numPr>
        <w:ind w:hanging="0" w:start="0"/>
        <w:rPr/>
      </w:pPr>
      <w:r>
        <w:rPr/>
        <w:t>Leveling Daily Production:  Storage is an attractive way of leveling daily production while enabling producers to sell gas to consumers at variable rates that match daily and seasonal swings in demand.  This can be more economic than putting excess gas on the spot market, or shutting in the gas.</w:t>
      </w:r>
    </w:p>
    <w:p>
      <w:pPr>
        <w:pStyle w:val="ListBullet"/>
        <w:numPr>
          <w:ilvl w:val="0"/>
          <w:numId w:val="6"/>
        </w:numPr>
        <w:ind w:hanging="0" w:start="0"/>
        <w:rPr/>
      </w:pPr>
      <w:r>
        <w:rPr/>
        <w:t>Risk Management:  Storage reduces risks associated with production problems, and is one of the most important methods of  risk management for producers planning to compete as firm suppliers of gas in the unbundled market.</w:t>
      </w:r>
    </w:p>
    <w:p>
      <w:pPr>
        <w:pStyle w:val="ListBullet"/>
        <w:numPr>
          <w:ilvl w:val="0"/>
          <w:numId w:val="6"/>
        </w:numPr>
        <w:ind w:hanging="0" w:start="0"/>
        <w:rPr/>
      </w:pPr>
      <w:r>
        <w:rPr/>
        <w:t>Aggregating Supplies:  Producers use production area storage sites for pooling gas supplies from various sources, and repackaging gas supplies to meet customer needs.</w:t>
      </w:r>
    </w:p>
    <w:p>
      <w:pPr>
        <w:pStyle w:val="ListBullet"/>
        <w:numPr>
          <w:ilvl w:val="0"/>
          <w:numId w:val="6"/>
        </w:numPr>
        <w:ind w:hanging="0" w:start="0"/>
        <w:rPr/>
      </w:pPr>
      <w:r>
        <w:rPr/>
        <w:t>Arbitraging Prices:  Storage allows producers to arbitrage natural gas prices, selling gas on the spot market when prices are high, and putting gas into storage when prices are lower.</w:t>
      </w:r>
    </w:p>
    <w:p>
      <w:pPr>
        <w:pStyle w:val="ListBullet"/>
        <w:numPr>
          <w:ilvl w:val="0"/>
          <w:numId w:val="6"/>
        </w:numPr>
        <w:ind w:hanging="0" w:start="0"/>
        <w:rPr/>
      </w:pPr>
      <w:r>
        <w:rPr/>
        <w:t>Other Value-Added Services: Storage is used by producers to increase the value of natural gas by increasing the flexibility of services provided.  For example, producers and storage providers can jointly offer firm gas supplies where production gas provides the baseload gas supply, and gas from storage meets swing demand and allows the gas producer/marketer to provide no-notice service to customers.</w:t>
      </w:r>
    </w:p>
    <w:p>
      <w:pPr>
        <w:pStyle w:val="Normal"/>
        <w:numPr>
          <w:ilvl w:val="0"/>
          <w:numId w:val="0"/>
        </w:numPr>
        <w:ind w:hanging="0" w:start="0"/>
        <w:rPr>
          <w:b/>
        </w:rPr>
      </w:pPr>
      <w:r>
        <w:rPr>
          <w:b/>
        </w:rPr>
      </w:r>
    </w:p>
    <w:p>
      <w:pPr>
        <w:pStyle w:val="Heading3"/>
        <w:ind w:hanging="0" w:start="0"/>
        <w:rPr/>
      </w:pPr>
      <w:r>
        <w:rPr/>
        <w:t>Power Generation and Other Natural Gas End-Users</w:t>
      </w:r>
    </w:p>
    <w:p>
      <w:pPr>
        <w:pStyle w:val="eeaopen"/>
        <w:numPr>
          <w:ilvl w:val="0"/>
          <w:numId w:val="0"/>
        </w:numPr>
        <w:spacing w:lineRule="auto" w:line="240" w:before="0" w:after="120"/>
        <w:ind w:hanging="0" w:start="0"/>
        <w:rPr/>
      </w:pPr>
      <w:r>
        <w:rPr/>
        <w:t>Power generation and industrial customers currently represent only a small portion (about two percent) of the direct market for interstate natural gas firm storage.  Much of the growth in U.S. natural gas demand over the next 10 to 20 years is expected to be in new gas-fired combustion turbine electric power plants (primarily combined-cycle).  These units are expected to have highly variable demands and to require significant surge capacity to accommodate their rapid on/off cycles.  Underground storage, located near the plant, with rapid injection and withdrawal capabilities, will often be the best and least expensive method of meeting these surge requirements.  Storage is likely to be used by these customers for the following purposes</w:t>
      </w:r>
    </w:p>
    <w:p>
      <w:pPr>
        <w:pStyle w:val="ListBullet"/>
        <w:numPr>
          <w:ilvl w:val="0"/>
          <w:numId w:val="6"/>
        </w:numPr>
        <w:ind w:hanging="0" w:start="0"/>
        <w:rPr/>
      </w:pPr>
      <w:r>
        <w:rPr/>
        <w:t>Balancing Weekday/Weekend Variations in Demand:  In the future, much of the gas powered generation capacity is likely to be operated as intermediate load instead of baseload.  This means the plants will be operating during peak weekday periods, but probably not at night or on weekends.  Utilities will use short-term market area storage when available as one strategy for minimizing pipeline capacity required by the plant.</w:t>
      </w:r>
    </w:p>
    <w:p>
      <w:pPr>
        <w:pStyle w:val="ListBullet"/>
        <w:numPr>
          <w:ilvl w:val="0"/>
          <w:numId w:val="6"/>
        </w:numPr>
        <w:ind w:hanging="0" w:start="0"/>
        <w:rPr/>
      </w:pPr>
      <w:r>
        <w:rPr/>
        <w:t>Emergency Backup: Storage will provide emergency gas backup services to allow some power generators to continue burning gas during potential supply or transportation outages.</w:t>
      </w:r>
    </w:p>
    <w:p>
      <w:pPr>
        <w:pStyle w:val="ListBullet"/>
        <w:numPr>
          <w:ilvl w:val="0"/>
          <w:numId w:val="6"/>
        </w:numPr>
        <w:ind w:hanging="0" w:start="0"/>
        <w:rPr/>
      </w:pPr>
      <w:r>
        <w:rPr/>
        <w:t>Price Arbitrage/Seasonal Use: One outcome of the electric industry restructuring currently under way will be increased use of price arbitrage to maximize the value of power generation assets.  Storage will play a role for some power generators by providing additional market flexibility.</w:t>
      </w:r>
    </w:p>
    <w:p>
      <w:pPr>
        <w:pStyle w:val="ListBullet"/>
        <w:numPr>
          <w:ilvl w:val="0"/>
          <w:numId w:val="6"/>
        </w:numPr>
        <w:ind w:hanging="0" w:start="0"/>
        <w:rPr/>
      </w:pPr>
      <w:r>
        <w:rPr/>
        <w:t>Seasonal Demand: Gas powered generation with winter peaking demand, or summer peaking demand in areas with constrained pipeline capacity, will continue to use storage in combination with pipeline capacity to meet seasonal natural gas demand.</w:t>
      </w:r>
    </w:p>
    <w:p>
      <w:pPr>
        <w:pStyle w:val="ListBullet"/>
        <w:numPr>
          <w:ilvl w:val="0"/>
          <w:numId w:val="6"/>
        </w:numPr>
        <w:ind w:hanging="0" w:start="0"/>
        <w:rPr/>
      </w:pPr>
      <w:r>
        <w:rPr/>
        <w:t>As a Substitute for Firm Pipeline Capacity: Market area storage in conjunction with interruptible or semi-firm pipeline capacity can be used as a substitute for firm pipeline capacity.</w:t>
      </w:r>
    </w:p>
    <w:p>
      <w:pPr>
        <w:pStyle w:val="Bullet1"/>
        <w:numPr>
          <w:ilvl w:val="0"/>
          <w:numId w:val="0"/>
        </w:numPr>
        <w:spacing w:before="0" w:after="0"/>
        <w:ind w:hanging="0" w:start="0"/>
        <w:rPr/>
      </w:pPr>
      <w:r>
        <w:rPr/>
      </w:r>
    </w:p>
    <w:p>
      <w:pPr>
        <w:pStyle w:val="Heading3"/>
        <w:ind w:hanging="0" w:start="0"/>
        <w:rPr/>
      </w:pPr>
      <w:r>
        <w:rPr/>
        <w:t>Natural Gas Price Arbitrage</w:t>
      </w:r>
    </w:p>
    <w:p>
      <w:pPr>
        <w:pStyle w:val="EEAHead2"/>
        <w:spacing w:before="0" w:after="0"/>
        <w:rPr>
          <w:b w:val="false"/>
        </w:rPr>
      </w:pPr>
      <w:r>
        <w:rPr>
          <w:b w:val="false"/>
        </w:rPr>
        <w:t>One of the major new uses of natural gas storage is natural gas price arbitrage.  Prior to about 1986, natural gas prices did not vary significantly on a seasonal basis. The factors that currently create significant variability in gas prices, including seasonal variability in costs and seasonal differences in the supply/demand balance, were obscured by the contracting practices in place at that time.  Since the mid 1980’s, restructuring of the pipeline industry has resulted in significant variations in seasonal pricing patterns.  Natural gas storage has increasingly been used to arbitrage across these seasonal price variations.</w:t>
      </w:r>
    </w:p>
    <w:p>
      <w:pPr>
        <w:pStyle w:val="EEAHead1"/>
        <w:spacing w:before="0" w:after="0"/>
        <w:rPr>
          <w:b w:val="false"/>
        </w:rPr>
      </w:pPr>
      <w:r>
        <w:rPr>
          <w:b w:val="false"/>
        </w:rPr>
      </w:r>
    </w:p>
    <w:p>
      <w:pPr>
        <w:pStyle w:val="Heading1"/>
        <w:ind w:hanging="0" w:start="0"/>
        <w:rPr/>
      </w:pPr>
      <w:r>
        <w:rPr/>
        <w:t>5.  Interstate Storage Capacity Under Contract</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t>This section examines the key characteristics of storage capacity under contract based on information provided to the FERC by interstate storage providers as part of quarterly Index of Customer reports.</w:t>
      </w:r>
      <w:r>
        <w:rPr>
          <w:rStyle w:val="FootnoteCharacters"/>
          <w:rStyle w:val="FootnoteReference"/>
        </w:rPr>
        <w:footnoteReference w:id="6"/>
      </w:r>
      <w:r>
        <w:rPr/>
        <w:t xml:space="preserve"> The analysis is based on an examination of trends in storage contracts between April 1996 and April 1999, with a more detailed analysis of storage customers and contracts for April 1999.</w:t>
      </w:r>
    </w:p>
    <w:p>
      <w:pPr>
        <w:pStyle w:val="eeaopen"/>
        <w:spacing w:lineRule="auto" w:line="240"/>
        <w:rPr/>
      </w:pPr>
      <w:r>
        <w:rPr/>
      </w:r>
    </w:p>
    <w:p>
      <w:pPr>
        <w:pStyle w:val="eeaopen"/>
        <w:spacing w:lineRule="auto" w:line="240"/>
        <w:rPr/>
      </w:pPr>
      <w:r>
        <w:rPr/>
        <w:t>The FERC Index of Customers includes information on storage capacity under contract by FERC regulated storage providers.  Hence, this data source does not include information on LDC owned storage, storage on intrastate pipelines not regulated by the FERC, and pipeline storage owned and operated by the pipeline for operational purposes.  The April 1998 FERC Index of Customers included contracts for 1,927 TBtus, accounting for about half of the 3,876 TBtus of total storage capacity reported by the EIA.</w:t>
      </w:r>
    </w:p>
    <w:p>
      <w:pPr>
        <w:pStyle w:val="eeaopen"/>
        <w:spacing w:lineRule="auto" w:line="240"/>
        <w:rPr/>
      </w:pPr>
      <w:r>
        <w:rPr/>
      </w:r>
    </w:p>
    <w:p>
      <w:pPr>
        <w:pStyle w:val="eeaopen"/>
        <w:spacing w:lineRule="auto" w:line="240"/>
        <w:rPr/>
      </w:pPr>
      <w:r>
        <w:rPr/>
        <w:t>The analysis of storage contracts shows significant changes in storage contracting characteristics over the four year analysis period.  Together, gas and combined utilities held just over 81 percent of the total firm storage capacity under contract in 1996.  By April 1999, their share fell to just under 68 percent of capacity.  Marketers increased their share during this period from under six percent to more than 16 percent.  These trends will impact the economics of both existing and future storage capacity.</w:t>
      </w:r>
    </w:p>
    <w:p>
      <w:pPr>
        <w:pStyle w:val="Normal"/>
        <w:rPr>
          <w:sz w:val="22"/>
        </w:rPr>
      </w:pPr>
      <w:r>
        <w:rPr>
          <w:sz w:val="22"/>
        </w:rPr>
      </w:r>
    </w:p>
    <w:p>
      <w:pPr>
        <w:pStyle w:val="Normal"/>
        <w:rPr>
          <w:sz w:val="22"/>
        </w:rPr>
      </w:pPr>
      <w:r>
        <w:rPr>
          <w:sz w:val="22"/>
        </w:rPr>
      </w:r>
    </w:p>
    <w:p>
      <w:pPr>
        <w:pStyle w:val="Heading2"/>
        <w:numPr>
          <w:ilvl w:val="1"/>
          <w:numId w:val="8"/>
        </w:numPr>
        <w:rPr/>
      </w:pPr>
      <w:r>
        <w:rPr/>
        <w:t>Capacity Under Contract and Remaining Contract Life by Type of Customer</w:t>
      </w:r>
    </w:p>
    <w:p>
      <w:pPr>
        <w:pStyle w:val="Normal"/>
        <w:rPr/>
      </w:pPr>
      <w:r>
        <w:rPr/>
      </w:r>
    </w:p>
    <w:p>
      <w:pPr>
        <w:pStyle w:val="eeaopen"/>
        <w:spacing w:lineRule="auto" w:line="240"/>
        <w:rPr/>
      </w:pPr>
      <w:r>
        <w:rPr/>
        <w:t xml:space="preserve">Total firm storage capacity under contract has increased each year since 1996.  The April 1, 1996 Index of Customer filing had a total of 1,709 TBtus of firm storage capacity.  The amount of storage capacity under contract included in the initial April 1999 Index of Customers filings increased to 1,927 TBtus.  Total firm storage capacity under contract for April 1996, April 1997, April 1998, and April 1999 is broken out by customer type in Exhibit 5-1. </w:t>
      </w:r>
    </w:p>
    <w:p>
      <w:pPr>
        <w:pStyle w:val="eeaopen"/>
        <w:spacing w:lineRule="auto" w:line="240"/>
        <w:rPr/>
      </w:pPr>
      <w:r>
        <w:rPr/>
      </w:r>
    </w:p>
    <w:p>
      <w:pPr>
        <w:pStyle w:val="Heading5"/>
        <w:ind w:hanging="0" w:start="0"/>
        <w:jc w:val="start"/>
        <w:rPr>
          <w:rFonts w:ascii="Times New Roman" w:hAnsi="Times New Roman" w:cs="Times New Roman"/>
          <w:b w:val="false"/>
        </w:rPr>
      </w:pPr>
      <w:r>
        <w:rPr>
          <w:rFonts w:cs="Times New Roman" w:ascii="Times New Roman" w:hAnsi="Times New Roman"/>
          <w:b w:val="false"/>
        </w:rPr>
        <w:t xml:space="preserve">Most of the increase in capacity under contract is due to additional capacity being contracted by marketers, whose capacity more than tripled from 98 TBtus in 1996 to 317 TBtus in 1999.  The amount of capacity being held by pipelines also increased substantially from 178 TBtus in 1996 to 266 TBtus in 1999. </w:t>
      </w:r>
    </w:p>
    <w:p>
      <w:pPr>
        <w:pStyle w:val="Heading5"/>
        <w:ind w:hanging="1350" w:start="1350" w:end="0"/>
        <w:rPr>
          <w:rFonts w:ascii="Times New Roman" w:hAnsi="Times New Roman" w:cs="Times New Roman"/>
          <w:b w:val="false"/>
        </w:rPr>
      </w:pPr>
      <w:r>
        <w:rPr>
          <w:rFonts w:cs="Times New Roman" w:ascii="Times New Roman" w:hAnsi="Times New Roman"/>
          <w:b w:val="false"/>
        </w:rPr>
      </w:r>
    </w:p>
    <w:p>
      <w:pPr>
        <w:pStyle w:val="Heading5"/>
        <w:ind w:hanging="1350" w:start="1350" w:end="0"/>
        <w:rPr/>
      </w:pPr>
      <w:r>
        <w:rPr/>
        <w:t>Exhibit 5-1</w:t>
      </w:r>
    </w:p>
    <w:p>
      <w:pPr>
        <w:pStyle w:val="Heading5"/>
        <w:ind w:hanging="1350" w:start="1350" w:end="0"/>
        <w:rPr/>
      </w:pPr>
      <w:r>
        <w:rPr/>
        <w:t>Total Firm Storage Capacity Under Contract by Customer Type (TBtus)</w:t>
      </w:r>
    </w:p>
    <w:p>
      <w:pPr>
        <w:pStyle w:val="Normal"/>
        <w:jc w:val="center"/>
        <w:rPr>
          <w:rFonts w:ascii="Arial" w:hAnsi="Arial" w:cs="Arial"/>
          <w:b/>
          <w:color w:val="000000"/>
          <w:lang w:eastAsia="en-US"/>
        </w:rPr>
      </w:pPr>
      <w:r>
        <w:rPr>
          <w:rFonts w:cs="Arial" w:ascii="Arial" w:hAnsi="Arial"/>
          <w:b/>
          <w:color w:val="000000"/>
          <w:lang w:eastAsia="en-US"/>
        </w:rPr>
      </w:r>
    </w:p>
    <w:tbl>
      <w:tblPr>
        <w:tblW w:w="7218" w:type="dxa"/>
        <w:jc w:val="center"/>
        <w:tblInd w:w="0" w:type="dxa"/>
        <w:tblLayout w:type="fixed"/>
        <w:tblCellMar>
          <w:top w:w="0" w:type="dxa"/>
          <w:start w:w="108" w:type="dxa"/>
          <w:bottom w:w="0" w:type="dxa"/>
          <w:end w:w="108" w:type="dxa"/>
        </w:tblCellMar>
      </w:tblPr>
      <w:tblGrid>
        <w:gridCol w:w="3378"/>
        <w:gridCol w:w="1050"/>
        <w:gridCol w:w="990"/>
        <w:gridCol w:w="900"/>
        <w:gridCol w:w="900"/>
      </w:tblGrid>
      <w:tr>
        <w:trPr/>
        <w:tc>
          <w:tcPr>
            <w:tcW w:w="33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lang w:eastAsia="en-US"/>
              </w:rPr>
            </w:pPr>
            <w:r>
              <w:rPr>
                <w:b/>
                <w:lang w:eastAsia="en-US"/>
              </w:rPr>
            </w:r>
          </w:p>
        </w:tc>
        <w:tc>
          <w:tcPr>
            <w:tcW w:w="1050" w:type="dxa"/>
            <w:tcBorders>
              <w:top w:val="single" w:sz="6" w:space="0" w:color="000000"/>
              <w:start w:val="single" w:sz="6" w:space="0" w:color="000000"/>
              <w:bottom w:val="single" w:sz="6" w:space="0" w:color="000000"/>
              <w:end w:val="single" w:sz="6" w:space="0" w:color="000000"/>
            </w:tcBorders>
            <w:shd w:fill="F2F2F2" w:val="clear"/>
          </w:tcPr>
          <w:p>
            <w:pPr>
              <w:pStyle w:val="Normal"/>
              <w:jc w:val="end"/>
              <w:rPr>
                <w:b/>
                <w:lang w:eastAsia="en-US"/>
              </w:rPr>
            </w:pPr>
            <w:r>
              <w:rPr>
                <w:b/>
                <w:lang w:eastAsia="en-US"/>
              </w:rPr>
              <w:t>April 1996</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Gas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911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904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880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838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Combined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472</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466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Electric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Cogen/IPPs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Industrial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Marketers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156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234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317</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Pipelines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200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225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266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Other/Unknown</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Total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1,709</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1,779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1,860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1,927</w:t>
            </w:r>
          </w:p>
        </w:tc>
      </w:tr>
    </w:tbl>
    <w:p>
      <w:pPr>
        <w:pStyle w:val="EEAHead1"/>
        <w:tabs>
          <w:tab w:val="clear" w:pos="720"/>
        </w:tabs>
        <w:spacing w:before="0" w:after="0"/>
        <w:rPr>
          <w:caps w:val="false"/>
          <w:smallCaps w:val="false"/>
        </w:rPr>
      </w:pPr>
      <w:r>
        <w:rPr>
          <w:caps w:val="false"/>
          <w:smallCaps w:val="false"/>
        </w:rPr>
      </w:r>
    </w:p>
    <w:p>
      <w:pPr>
        <w:pStyle w:val="EEAHead1"/>
        <w:tabs>
          <w:tab w:val="clear" w:pos="720"/>
        </w:tabs>
        <w:spacing w:before="0" w:after="0"/>
        <w:jc w:val="center"/>
        <w:rPr>
          <w:caps w:val="false"/>
          <w:smallCaps w:val="false"/>
        </w:rPr>
      </w:pPr>
      <w:r>
        <w:rPr>
          <w:caps w:val="false"/>
          <w:smallCaps w:val="false"/>
        </w:rPr>
      </w:r>
    </w:p>
    <w:p>
      <w:pPr>
        <w:pStyle w:val="EEAHead1"/>
        <w:tabs>
          <w:tab w:val="clear" w:pos="720"/>
        </w:tabs>
        <w:spacing w:before="0" w:after="0"/>
        <w:jc w:val="center"/>
        <w:rPr>
          <w:rFonts w:ascii="Arial" w:hAnsi="Arial" w:cs="Arial"/>
          <w:caps w:val="false"/>
          <w:smallCaps w:val="false"/>
        </w:rPr>
      </w:pPr>
      <w:r>
        <w:rPr>
          <w:rFonts w:cs="Arial" w:ascii="Arial" w:hAnsi="Arial"/>
          <w:caps w:val="false"/>
          <w:smallCaps w:val="false"/>
        </w:rPr>
        <w:t xml:space="preserve">Exhibit 5-2 </w:t>
      </w:r>
    </w:p>
    <w:p>
      <w:pPr>
        <w:pStyle w:val="EEAHead1"/>
        <w:tabs>
          <w:tab w:val="clear" w:pos="720"/>
        </w:tabs>
        <w:spacing w:before="0" w:after="0"/>
        <w:jc w:val="center"/>
        <w:rPr>
          <w:rFonts w:ascii="Arial" w:hAnsi="Arial" w:cs="Arial"/>
          <w:caps w:val="false"/>
          <w:smallCaps w:val="false"/>
        </w:rPr>
      </w:pPr>
      <w:r>
        <w:rPr>
          <w:rFonts w:cs="Arial" w:ascii="Arial" w:hAnsi="Arial"/>
          <w:caps w:val="false"/>
          <w:smallCaps w:val="false"/>
        </w:rPr>
        <w:t>Percentage of Total Firm Storage Under Contract</w:t>
      </w:r>
    </w:p>
    <w:p>
      <w:pPr>
        <w:pStyle w:val="Normal"/>
        <w:rPr>
          <w:rFonts w:ascii="Arial" w:hAnsi="Arial" w:cs="Arial"/>
          <w:b/>
          <w:caps/>
          <w:color w:val="000000"/>
          <w:lang w:eastAsia="en-US"/>
        </w:rPr>
      </w:pPr>
      <w:r>
        <w:rPr>
          <w:rFonts w:cs="Arial" w:ascii="Arial" w:hAnsi="Arial"/>
          <w:b/>
          <w:caps/>
          <w:color w:val="000000"/>
          <w:lang w:eastAsia="en-US"/>
        </w:rPr>
      </w:r>
    </w:p>
    <w:tbl>
      <w:tblPr>
        <w:tblW w:w="7218" w:type="dxa"/>
        <w:jc w:val="center"/>
        <w:tblInd w:w="0" w:type="dxa"/>
        <w:tblLayout w:type="fixed"/>
        <w:tblCellMar>
          <w:top w:w="0" w:type="dxa"/>
          <w:start w:w="108" w:type="dxa"/>
          <w:bottom w:w="0" w:type="dxa"/>
          <w:end w:w="108" w:type="dxa"/>
        </w:tblCellMar>
      </w:tblPr>
      <w:tblGrid>
        <w:gridCol w:w="3378"/>
        <w:gridCol w:w="1050"/>
        <w:gridCol w:w="990"/>
        <w:gridCol w:w="900"/>
        <w:gridCol w:w="900"/>
      </w:tblGrid>
      <w:tr>
        <w:trPr/>
        <w:tc>
          <w:tcPr>
            <w:tcW w:w="33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lang w:eastAsia="en-US"/>
              </w:rPr>
            </w:pPr>
            <w:r>
              <w:rPr>
                <w:b/>
                <w:lang w:eastAsia="en-US"/>
              </w:rPr>
            </w:r>
          </w:p>
        </w:tc>
        <w:tc>
          <w:tcPr>
            <w:tcW w:w="105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1996</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Gas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53.3%</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50.8%</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47.3%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43.5%</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Combined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27.9%</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26.7%</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25.4%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24.2%</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Electric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1.6%</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Cogen/IPPs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0.5%</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0.5%</w:t>
            </w:r>
          </w:p>
        </w:tc>
      </w:tr>
      <w:tr>
        <w:trPr/>
        <w:tc>
          <w:tcPr>
            <w:tcW w:w="337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lang w:eastAsia="en-US"/>
              </w:rPr>
            </w:pPr>
            <w:r>
              <w:rPr>
                <w:lang w:eastAsia="en-US"/>
              </w:rPr>
              <w:t>Industrial</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0.5%</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0.3%</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Marketers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5.8%</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8.8%</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12.6%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16.5%</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Pipelines</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10.4%</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11.3%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12.1%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13.8%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Other/Unknown</w:t>
            </w:r>
          </w:p>
        </w:tc>
        <w:tc>
          <w:tcPr>
            <w:tcW w:w="105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lang w:eastAsia="en-US"/>
              </w:rPr>
            </w:pPr>
            <w:r>
              <w:rPr>
                <w:lang w:eastAsia="en-US"/>
              </w:rPr>
              <w:t>0.4%</w:t>
            </w:r>
          </w:p>
        </w:tc>
      </w:tr>
    </w:tbl>
    <w:p>
      <w:pPr>
        <w:pStyle w:val="Normal"/>
        <w:rPr>
          <w:b/>
          <w:color w:val="000000"/>
          <w:lang w:eastAsia="en-US"/>
        </w:rPr>
      </w:pPr>
      <w:r>
        <w:rPr>
          <w:b/>
          <w:color w:val="000000"/>
          <w:lang w:eastAsia="en-US"/>
        </w:rPr>
      </w:r>
    </w:p>
    <w:p>
      <w:pPr>
        <w:pStyle w:val="Heading5"/>
        <w:ind w:hanging="0" w:start="0"/>
        <w:rPr>
          <w:rFonts w:ascii="Times New Roman" w:hAnsi="Times New Roman" w:cs="Times New Roman"/>
          <w:b w:val="false"/>
          <w:color w:val="000000"/>
          <w:lang w:eastAsia="en-US"/>
        </w:rPr>
      </w:pPr>
      <w:r>
        <w:rPr>
          <w:rFonts w:cs="Times New Roman" w:ascii="Times New Roman" w:hAnsi="Times New Roman"/>
          <w:b w:val="false"/>
          <w:color w:val="000000"/>
          <w:lang w:eastAsia="en-US"/>
        </w:rPr>
      </w:r>
    </w:p>
    <w:p>
      <w:pPr>
        <w:pStyle w:val="Heading5"/>
        <w:ind w:hanging="0" w:start="0"/>
        <w:rPr/>
      </w:pPr>
      <w:r>
        <w:rPr/>
        <w:t>Exhibit 5-3</w:t>
      </w:r>
    </w:p>
    <w:p>
      <w:pPr>
        <w:pStyle w:val="Heading5"/>
        <w:ind w:hanging="0" w:start="0"/>
        <w:rPr/>
      </w:pPr>
      <w:r>
        <w:rPr/>
        <w:t>Total Number of Firm Storage Contracts</w:t>
      </w:r>
    </w:p>
    <w:p>
      <w:pPr>
        <w:pStyle w:val="Normal"/>
        <w:rPr>
          <w:b/>
          <w:color w:val="000000"/>
          <w:lang w:eastAsia="en-US"/>
        </w:rPr>
      </w:pPr>
      <w:r>
        <w:rPr>
          <w:b/>
          <w:color w:val="000000"/>
          <w:lang w:eastAsia="en-US"/>
        </w:rPr>
      </w:r>
    </w:p>
    <w:tbl>
      <w:tblPr>
        <w:tblW w:w="7218" w:type="dxa"/>
        <w:jc w:val="center"/>
        <w:tblInd w:w="0" w:type="dxa"/>
        <w:tblLayout w:type="fixed"/>
        <w:tblCellMar>
          <w:top w:w="0" w:type="dxa"/>
          <w:start w:w="108" w:type="dxa"/>
          <w:bottom w:w="0" w:type="dxa"/>
          <w:end w:w="108" w:type="dxa"/>
        </w:tblCellMar>
      </w:tblPr>
      <w:tblGrid>
        <w:gridCol w:w="3378"/>
        <w:gridCol w:w="1050"/>
        <w:gridCol w:w="990"/>
        <w:gridCol w:w="900"/>
        <w:gridCol w:w="900"/>
      </w:tblGrid>
      <w:tr>
        <w:trPr/>
        <w:tc>
          <w:tcPr>
            <w:tcW w:w="33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lang w:eastAsia="en-US"/>
              </w:rPr>
            </w:pPr>
            <w:r>
              <w:rPr>
                <w:b/>
                <w:lang w:eastAsia="en-US"/>
              </w:rPr>
            </w:r>
          </w:p>
        </w:tc>
        <w:tc>
          <w:tcPr>
            <w:tcW w:w="105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1996</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Gas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1,034</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995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1,031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1,125</w:t>
            </w:r>
          </w:p>
        </w:tc>
      </w:tr>
      <w:tr>
        <w:trPr/>
        <w:tc>
          <w:tcPr>
            <w:tcW w:w="337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lang w:eastAsia="en-US"/>
              </w:rPr>
            </w:pPr>
            <w:r>
              <w:rPr>
                <w:lang w:eastAsia="en-US"/>
              </w:rPr>
              <w:t>Combined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190</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189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194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193</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Electric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Cogen/IPPs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Industrial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37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45</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46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Marketers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106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164</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218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Pipelines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29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Other/Unknown</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7</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13</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Total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1,410</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1,383</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1,486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72"/>
              <w:jc w:val="end"/>
              <w:rPr>
                <w:lang w:eastAsia="en-US"/>
              </w:rPr>
            </w:pPr>
            <w:r>
              <w:rPr>
                <w:lang w:eastAsia="en-US"/>
              </w:rPr>
              <w:t>1,638</w:t>
            </w:r>
          </w:p>
        </w:tc>
      </w:tr>
    </w:tbl>
    <w:p>
      <w:pPr>
        <w:pStyle w:val="Normal"/>
        <w:rPr>
          <w:b/>
          <w:color w:val="000000"/>
          <w:lang w:eastAsia="en-US"/>
        </w:rPr>
      </w:pPr>
      <w:r>
        <w:rPr>
          <w:b/>
          <w:color w:val="000000"/>
          <w:lang w:eastAsia="en-US"/>
        </w:rPr>
      </w:r>
    </w:p>
    <w:p>
      <w:pPr>
        <w:pStyle w:val="eeaopen"/>
        <w:spacing w:lineRule="auto" w:line="240"/>
        <w:rPr/>
      </w:pPr>
      <w:r>
        <w:rPr/>
        <w:t>While gas and combined gas/electric utilities remained the largest holders of storage capacity, they reduced the amount of contracted capacity held each year.  Storage capacity held under contract by gas utilities fell from 911 TBtus in 1996 to 838 TBtus in 1999.  Capacity held by combined utilities fell from 477 TBtus to 466 TBtus.  Electric utilities, cogenerators/independent power producers (IPPs), industrial and other customers held relatively small amounts of storage totaling 45 TBtus in 1996 and 41 TBtus in 1999.</w:t>
      </w:r>
    </w:p>
    <w:p>
      <w:pPr>
        <w:pStyle w:val="Normal"/>
        <w:rPr>
          <w:rFonts w:ascii="Arial" w:hAnsi="Arial" w:cs="Arial"/>
          <w:b/>
          <w:color w:val="000000"/>
          <w:lang w:eastAsia="en-US"/>
        </w:rPr>
      </w:pPr>
      <w:r>
        <w:rPr>
          <w:rFonts w:cs="Arial" w:ascii="Arial" w:hAnsi="Arial"/>
          <w:b/>
          <w:color w:val="000000"/>
          <w:lang w:eastAsia="en-US"/>
        </w:rPr>
      </w:r>
    </w:p>
    <w:p>
      <w:pPr>
        <w:pStyle w:val="eeaopen"/>
        <w:spacing w:lineRule="auto" w:line="240"/>
        <w:rPr/>
      </w:pPr>
      <w:r>
        <w:rPr/>
        <w:t xml:space="preserve">The average length of time until contract expiration for firm storage contracts declined from 6.8 years in 1996 to 5.9 years in 1997 before rising slightly to 6.2 years in 1999.  Over one half of the contracts existing in April 1999 will expire by 2004.  By 2006, 70 percent of the contracts existing in April 1999 will have expired.  </w:t>
      </w:r>
    </w:p>
    <w:p>
      <w:pPr>
        <w:pStyle w:val="eeaopen"/>
        <w:spacing w:lineRule="auto" w:line="240"/>
        <w:rPr/>
      </w:pPr>
      <w:r>
        <w:rPr/>
      </w:r>
    </w:p>
    <w:p>
      <w:pPr>
        <w:pStyle w:val="eeaopen"/>
        <w:spacing w:lineRule="auto" w:line="240"/>
        <w:rPr/>
      </w:pPr>
      <w:r>
        <w:rPr/>
        <w:t xml:space="preserve">The number of years remaining in the existing storage contracts varies by customer type, with cogenerators and IPPs having the longest remaining contract length followed by pipelines, gas utilities, combined utilities and marketers.  Electric utilities and industrial customers have the shortest average contract lengths remaining.  Exhibit 5-4 lists the average length of contracts remaining by customer type as of the April 1996, 1997, 1998 and 1999 Index of Customer filings.  Exhibit 5-5 illustrates the capacity expiration schedule by customer type. </w:t>
      </w:r>
    </w:p>
    <w:p>
      <w:pPr>
        <w:pStyle w:val="Normal"/>
        <w:rPr>
          <w:rFonts w:ascii="Arial" w:hAnsi="Arial" w:cs="Arial"/>
          <w:b/>
          <w:color w:val="000000"/>
          <w:lang w:eastAsia="en-US"/>
        </w:rPr>
      </w:pPr>
      <w:r>
        <w:rPr>
          <w:rFonts w:cs="Arial" w:ascii="Arial" w:hAnsi="Arial"/>
          <w:b/>
          <w:color w:val="000000"/>
          <w:lang w:eastAsia="en-US"/>
        </w:rPr>
      </w:r>
    </w:p>
    <w:p>
      <w:pPr>
        <w:pStyle w:val="Heading5"/>
        <w:ind w:hanging="0" w:start="0"/>
        <w:rPr/>
      </w:pPr>
      <w:r>
        <w:rPr/>
        <w:t>Exhibit 5-4</w:t>
      </w:r>
    </w:p>
    <w:p>
      <w:pPr>
        <w:pStyle w:val="Heading5"/>
        <w:ind w:hanging="0" w:start="0"/>
        <w:rPr/>
      </w:pPr>
      <w:r>
        <w:rPr/>
        <w:t>Number of Years Remaining on Storage Contracts</w:t>
      </w:r>
    </w:p>
    <w:p>
      <w:pPr>
        <w:pStyle w:val="Normal"/>
        <w:rPr>
          <w:rFonts w:ascii="Arial" w:hAnsi="Arial" w:cs="Arial"/>
          <w:b/>
          <w:color w:val="000000"/>
          <w:lang w:eastAsia="en-US"/>
        </w:rPr>
      </w:pPr>
      <w:r>
        <w:rPr>
          <w:rFonts w:cs="Arial" w:ascii="Arial" w:hAnsi="Arial"/>
          <w:b/>
          <w:color w:val="000000"/>
          <w:lang w:eastAsia="en-US"/>
        </w:rPr>
      </w:r>
    </w:p>
    <w:tbl>
      <w:tblPr>
        <w:tblW w:w="7218" w:type="dxa"/>
        <w:jc w:val="center"/>
        <w:tblInd w:w="0" w:type="dxa"/>
        <w:tblLayout w:type="fixed"/>
        <w:tblCellMar>
          <w:top w:w="0" w:type="dxa"/>
          <w:start w:w="108" w:type="dxa"/>
          <w:bottom w:w="0" w:type="dxa"/>
          <w:end w:w="108" w:type="dxa"/>
        </w:tblCellMar>
      </w:tblPr>
      <w:tblGrid>
        <w:gridCol w:w="3378"/>
        <w:gridCol w:w="1050"/>
        <w:gridCol w:w="990"/>
        <w:gridCol w:w="900"/>
        <w:gridCol w:w="900"/>
      </w:tblGrid>
      <w:tr>
        <w:trPr/>
        <w:tc>
          <w:tcPr>
            <w:tcW w:w="33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lang w:eastAsia="en-US"/>
              </w:rPr>
            </w:pPr>
            <w:r>
              <w:rPr>
                <w:b/>
                <w:lang w:eastAsia="en-US"/>
              </w:rPr>
            </w:r>
          </w:p>
        </w:tc>
        <w:tc>
          <w:tcPr>
            <w:tcW w:w="105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1996</w:t>
            </w:r>
          </w:p>
        </w:tc>
        <w:tc>
          <w:tcPr>
            <w:tcW w:w="99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1997</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1998</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lang w:eastAsia="en-US"/>
              </w:rPr>
            </w:pPr>
            <w:r>
              <w:rPr>
                <w:b/>
                <w:lang w:eastAsia="en-US"/>
              </w:rPr>
              <w:t>April 1999</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Gas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7.1</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Combined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6.3</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Electric Utilities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4.7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4.3</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3.6</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3.8</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Cogen/IPPs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21.0</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20.0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19.2</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18.1</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Industrial</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2.6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3.0</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2.2</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Marketers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6.7</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5.2</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5.1</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4.6</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Pipelines</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8.6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9.2</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7.8</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5.7</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Other/Unknown</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2.6</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4.3</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3.4</w:t>
            </w:r>
          </w:p>
        </w:tc>
      </w:tr>
      <w:tr>
        <w:trPr/>
        <w:tc>
          <w:tcPr>
            <w:tcW w:w="3378" w:type="dxa"/>
            <w:tcBorders>
              <w:top w:val="single" w:sz="6" w:space="0" w:color="000000"/>
              <w:start w:val="single" w:sz="6" w:space="0" w:color="000000"/>
              <w:bottom w:val="single" w:sz="6" w:space="0" w:color="000000"/>
              <w:end w:val="single" w:sz="6" w:space="0" w:color="000000"/>
            </w:tcBorders>
          </w:tcPr>
          <w:p>
            <w:pPr>
              <w:pStyle w:val="Normal"/>
              <w:rPr>
                <w:lang w:eastAsia="en-US"/>
              </w:rPr>
            </w:pPr>
            <w:r>
              <w:rPr>
                <w:lang w:eastAsia="en-US"/>
              </w:rPr>
              <w:t>Average</w:t>
            </w:r>
          </w:p>
        </w:tc>
        <w:tc>
          <w:tcPr>
            <w:tcW w:w="105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6.8</w:t>
            </w:r>
          </w:p>
        </w:tc>
        <w:tc>
          <w:tcPr>
            <w:tcW w:w="99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5.9</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6.3</w:t>
            </w:r>
          </w:p>
        </w:tc>
        <w:tc>
          <w:tcPr>
            <w:tcW w:w="900" w:type="dxa"/>
            <w:tcBorders>
              <w:top w:val="single" w:sz="6" w:space="0" w:color="000000"/>
              <w:start w:val="single" w:sz="6" w:space="0" w:color="000000"/>
              <w:bottom w:val="single" w:sz="6" w:space="0" w:color="000000"/>
              <w:end w:val="single" w:sz="6" w:space="0" w:color="000000"/>
            </w:tcBorders>
          </w:tcPr>
          <w:p>
            <w:pPr>
              <w:pStyle w:val="Normal"/>
              <w:ind w:end="144"/>
              <w:jc w:val="end"/>
              <w:rPr>
                <w:lang w:eastAsia="en-US"/>
              </w:rPr>
            </w:pPr>
            <w:r>
              <w:rPr>
                <w:lang w:eastAsia="en-US"/>
              </w:rPr>
              <w:t>6.2</w:t>
            </w:r>
          </w:p>
        </w:tc>
      </w:tr>
    </w:tbl>
    <w:p>
      <w:pPr>
        <w:pStyle w:val="eeaopen"/>
        <w:spacing w:lineRule="auto" w:line="240"/>
        <w:rPr/>
      </w:pPr>
      <w:r>
        <w:rPr/>
      </w:r>
    </w:p>
    <w:p>
      <w:pPr>
        <w:pStyle w:val="Normal"/>
        <w:rPr/>
      </w:pPr>
      <w:r>
        <w:rPr>
          <w:lang w:eastAsia="en-US"/>
        </w:rPr>
        <w:t>The top 50 storage capacity holders are listed in Exhibit 5-6.  Fourteen of the of the top 20 largest holders of storage are gas or combined gas/electric utilities.   Three of the top 20 largest storage holders are marketers.  Out of the top 50 holders of storage capacity, 22 are gas LDCs, 15 are combined utilities, eight are marketers, four are pipeline companies and one is an electric utility</w:t>
      </w:r>
      <w:r>
        <w:rPr/>
        <w:t xml:space="preserve">.  </w:t>
      </w:r>
    </w:p>
    <w:p>
      <w:pPr>
        <w:pStyle w:val="Normal"/>
        <w:rPr/>
      </w:pPr>
      <w:r>
        <w:rPr/>
      </w:r>
    </w:p>
    <w:p>
      <w:pPr>
        <w:pStyle w:val="Normal"/>
        <w:rPr/>
      </w:pPr>
      <w:r>
        <w:rPr/>
        <w:t>Between 1998 and 1999, the top 50 storage customers changed in two significant ways.  First, several utilities, including the largest storage holder from 1998 Columbia Gas of Ohio, substantially reduced the amount of storage capacity held under contract. Second, the number of marketers in the top 50 storage companies represents a significant increase from 1998, when only five marketers were in the top fifty.</w:t>
      </w:r>
    </w:p>
    <w:p>
      <w:pPr>
        <w:pStyle w:val="eeaopen"/>
        <w:spacing w:lineRule="auto" w:line="240"/>
        <w:rPr>
          <w:b/>
        </w:rPr>
      </w:pPr>
      <w:r>
        <w:rPr>
          <w:b/>
        </w:rPr>
      </w:r>
    </w:p>
    <w:p>
      <w:pPr>
        <w:pStyle w:val="eeaopen"/>
        <w:spacing w:lineRule="auto" w:line="240"/>
        <w:jc w:val="center"/>
        <w:rPr>
          <w:b/>
        </w:rPr>
      </w:pPr>
      <w:bookmarkStart w:id="7" w:name="_1019045239"/>
      <w:bookmarkEnd w:id="7"/>
      <w:r>
        <w:rPr>
          <w:lang w:val="en-CA" w:eastAsia="en-CA"/>
        </w:rPr>
        <w:object w:dxaOrig="8638" w:dyaOrig="6167">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431.9pt;height:308.35pt" filled="f" o:ole="">
            <v:imagedata r:id="rId26" o:title=""/>
          </v:shape>
          <o:OLEObject Type="Embed" ProgID="" ShapeID="ole_rId25" DrawAspect="Content" ObjectID="_2089722507" r:id="rId25"/>
        </w:object>
      </w:r>
    </w:p>
    <w:p>
      <w:pPr>
        <w:pStyle w:val="Heading2"/>
        <w:ind w:hanging="0" w:start="0"/>
        <w:rPr/>
      </w:pPr>
      <w:r>
        <w:rPr/>
        <w:t>5.2</w:t>
        <w:tab/>
        <w:t>Regional Storage Capacity Under Contract</w:t>
      </w:r>
    </w:p>
    <w:p>
      <w:pPr>
        <w:pStyle w:val="eeaopen"/>
        <w:spacing w:lineRule="auto" w:line="240"/>
        <w:rPr/>
      </w:pPr>
      <w:r>
        <w:rPr/>
        <w:t>In order to evaluate differences in regional storage usage trends, the firm storage contract information from the FERC Index of Customers was disaggregated into six regions.  The FERC IOC data is provided by storage provider, and does not identify the location of the specific storage facilities or the location of the storage customer.  Hence, the regional analysis was conducted on a pipeline by pipeline basis,</w:t>
      </w:r>
      <w:r>
        <w:rPr>
          <w:rStyle w:val="FootnoteCharacters"/>
          <w:rStyle w:val="FootnoteReference"/>
        </w:rPr>
        <w:footnoteReference w:id="7"/>
      </w:r>
      <w:r>
        <w:rPr/>
        <w:t xml:space="preserve"> rather than a customer by customer basis, and the results should be considered indicative rather than definitive.</w:t>
      </w:r>
    </w:p>
    <w:p>
      <w:pPr>
        <w:pStyle w:val="eeaopen"/>
        <w:spacing w:lineRule="auto" w:line="240"/>
        <w:rPr/>
      </w:pPr>
      <w:r>
        <w:rPr/>
      </w:r>
    </w:p>
    <w:p>
      <w:pPr>
        <w:pStyle w:val="eeaopen"/>
        <w:spacing w:lineRule="auto" w:line="240"/>
        <w:rPr/>
      </w:pPr>
      <w:r>
        <w:rPr/>
        <w:t>The majority of the storage capacity under contract is located on pipeline systems with major markets in the Northeast and the Midwest.  Pipelines with major markets in the Northeast had 953 TBtus of storage capacity under contract as of April 1999, up from 899 TBtus of capacity in 1996.  The Northeast was the only region where gas and combined utilities significantly increased their contracted storage capacity.  Between 1996 and 1999, gas and combined utilities increased storage capacity under contract by 17 TBtus from 778 to 795 TBtus.  However, their share of the total regional capacity fell slightly from 86.6 percent to 83.5 percent.  Pipelines</w:t>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t>Exhibit 5-6:  Top 50 Holders of Gas Storage Capacity As Of April 1, 1999</w:t>
      </w:r>
    </w:p>
    <w:p>
      <w:pPr>
        <w:pStyle w:val="eeaopen"/>
        <w:spacing w:lineRule="auto" w:line="240" w:before="120" w:after="0"/>
        <w:rPr>
          <w:lang w:val="en-CA"/>
        </w:rPr>
      </w:pPr>
      <w:r>
        <w:rPr>
          <w:lang w:val="en-CA"/>
        </w:rPr>
        <w:drawing>
          <wp:inline distT="0" distB="0" distL="0" distR="0">
            <wp:extent cx="6109970" cy="7599045"/>
            <wp:effectExtent l="0" t="0" r="0" b="0"/>
            <wp:docPr id="1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title=""/>
                    <pic:cNvPicPr>
                      <a:picLocks noChangeAspect="1" noChangeArrowheads="1"/>
                    </pic:cNvPicPr>
                  </pic:nvPicPr>
                  <pic:blipFill>
                    <a:blip r:embed="rId27"/>
                    <a:srcRect l="-5" t="-4" r="-5" b="-4"/>
                    <a:stretch>
                      <a:fillRect/>
                    </a:stretch>
                  </pic:blipFill>
                  <pic:spPr bwMode="auto">
                    <a:xfrm>
                      <a:off x="0" y="0"/>
                      <a:ext cx="6109970" cy="7599045"/>
                    </a:xfrm>
                    <a:prstGeom prst="rect">
                      <a:avLst/>
                    </a:prstGeom>
                    <a:noFill/>
                  </pic:spPr>
                </pic:pic>
              </a:graphicData>
            </a:graphic>
          </wp:inline>
        </w:drawing>
      </w:r>
    </w:p>
    <w:p>
      <w:pPr>
        <w:pStyle w:val="eeaopen"/>
        <w:spacing w:lineRule="auto" w:line="240" w:before="120" w:after="0"/>
        <w:rPr>
          <w:rFonts w:ascii="Arial" w:hAnsi="Arial" w:cs="Arial"/>
          <w:color w:val="000000"/>
          <w:sz w:val="16"/>
        </w:rPr>
      </w:pPr>
      <w:r>
        <w:rPr>
          <w:rFonts w:cs="Arial" w:ascii="Arial" w:hAnsi="Arial"/>
          <w:color w:val="000000"/>
          <w:sz w:val="16"/>
        </w:rPr>
        <w:t>Source:  FERC Index of Customer Data</w:t>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t>Exhibit 5-7</w:t>
      </w:r>
    </w:p>
    <w:p>
      <w:pPr>
        <w:pStyle w:val="eeaopen"/>
        <w:spacing w:lineRule="auto" w:line="240"/>
        <w:jc w:val="center"/>
        <w:rPr/>
      </w:pPr>
      <w:r>
        <w:rPr>
          <w:rFonts w:cs="Arial" w:ascii="Arial" w:hAnsi="Arial"/>
          <w:b/>
        </w:rPr>
        <w:t xml:space="preserve">Firm Storage Capacity Under Contract </w:t>
      </w:r>
      <w:r>
        <w:rPr>
          <w:rFonts w:cs="Arial" w:ascii="Arial" w:hAnsi="Arial"/>
          <w:b/>
          <w:color w:val="000000"/>
        </w:rPr>
        <w:t>by Region &amp; Customer Type</w:t>
      </w:r>
    </w:p>
    <w:p>
      <w:pPr>
        <w:pStyle w:val="eeaopen"/>
        <w:spacing w:lineRule="auto" w:line="240"/>
        <w:rPr>
          <w:rFonts w:ascii="Arial" w:hAnsi="Arial" w:cs="Arial"/>
          <w:b/>
          <w:color w:val="000000"/>
        </w:rPr>
      </w:pPr>
      <w:bookmarkStart w:id="8" w:name="_1019046358"/>
      <w:bookmarkEnd w:id="8"/>
      <w:r>
        <w:rPr>
          <w:rFonts w:cs="Arial" w:ascii="Arial" w:hAnsi="Arial"/>
          <w:b/>
          <w:color w:val="000000"/>
          <w:lang w:val="en-CA" w:eastAsia="en-CA"/>
        </w:rPr>
        <w:object w:dxaOrig="8633" w:dyaOrig="10624">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31.65pt;height:531.2pt" filled="f" o:ole="">
            <v:imagedata r:id="rId29" o:title=""/>
          </v:shape>
          <o:OLEObject Type="Embed" ProgID="" ShapeID="ole_rId28" DrawAspect="Content" ObjectID="_628395569" r:id="rId28"/>
        </w:object>
      </w:r>
    </w:p>
    <w:p>
      <w:pPr>
        <w:pStyle w:val="eeaopen"/>
        <w:spacing w:lineRule="auto" w:line="240"/>
        <w:rPr>
          <w:rFonts w:ascii="Arial" w:hAnsi="Arial" w:cs="Arial"/>
          <w:b/>
          <w:color w:val="000000"/>
          <w:sz w:val="16"/>
        </w:rPr>
      </w:pPr>
      <w:r>
        <w:rPr>
          <w:rFonts w:cs="Arial" w:ascii="Arial" w:hAnsi="Arial"/>
          <w:b/>
          <w:color w:val="000000"/>
          <w:sz w:val="16"/>
        </w:rPr>
      </w:r>
    </w:p>
    <w:p>
      <w:pPr>
        <w:pStyle w:val="eeaopen"/>
        <w:spacing w:lineRule="auto" w:line="240"/>
        <w:rPr>
          <w:rFonts w:ascii="Arial" w:hAnsi="Arial" w:cs="Arial"/>
          <w:color w:val="000000"/>
          <w:sz w:val="16"/>
        </w:rPr>
      </w:pPr>
      <w:r>
        <w:rPr>
          <w:rFonts w:cs="Arial" w:ascii="Arial" w:hAnsi="Arial"/>
          <w:color w:val="000000"/>
          <w:sz w:val="16"/>
        </w:rPr>
        <w:t>Source:  FERC Index of Customer Data</w:t>
      </w:r>
    </w:p>
    <w:p>
      <w:pPr>
        <w:pStyle w:val="eeaopen"/>
        <w:spacing w:lineRule="auto" w:line="240"/>
        <w:rPr>
          <w:rFonts w:ascii="Arial" w:hAnsi="Arial" w:cs="Arial"/>
          <w:color w:val="000000"/>
          <w:sz w:val="16"/>
        </w:rPr>
      </w:pPr>
      <w:r>
        <w:rPr>
          <w:rFonts w:cs="Arial" w:ascii="Arial" w:hAnsi="Arial"/>
          <w:color w:val="000000"/>
          <w:sz w:val="16"/>
        </w:rPr>
      </w:r>
    </w:p>
    <w:p>
      <w:pPr>
        <w:pStyle w:val="eeaopen"/>
        <w:spacing w:lineRule="auto" w:line="240"/>
        <w:rPr/>
      </w:pPr>
      <w:r>
        <w:rPr/>
        <w:t xml:space="preserve">and their affiliated marketers increased their capacity by 15 TBtus from 81 TBtus in 1996 to 96 TBtus in 1999.  While marketers increased storage capacity under contract by 1.8 TBtus, their market share remained relatively small at four percent of total regional contracted capacity. Electric utilities, cogenerators, IPPs, industrial and other customers together accounted for about 2 percent of total regional capacity.  </w:t>
      </w:r>
    </w:p>
    <w:p>
      <w:pPr>
        <w:pStyle w:val="eeaopen"/>
        <w:spacing w:lineRule="auto" w:line="240"/>
        <w:rPr/>
      </w:pPr>
      <w:r>
        <w:rPr/>
      </w:r>
    </w:p>
    <w:p>
      <w:pPr>
        <w:pStyle w:val="eeaopen"/>
        <w:spacing w:lineRule="auto" w:line="240"/>
        <w:rPr/>
      </w:pPr>
      <w:r>
        <w:rPr/>
        <w:t xml:space="preserve">Storage capacity on pipelines primarily serving the Midwest region have also experienced significant shifts in storage capacity under contract since 1996.  Total storage capacity under contract on these pipelines increased by almost 100 TBtus, from 569 to 669 TBtus between 1996 and 1999, while the amount of contracted storage capacity held by gas and combined utilities fell from 432 to 377 TBtus.  Marketers increased their contracted capacity by 149 TBtus to a total of 183 TBtus of capacity.  Pipelines and their affiliated marketers also increased their contracted capacity to 93 TBtus of storage capacity, 16 TBtus more than 1996. Capacity contracted by electric utilities declined from 18.4 TBtus in 1996 to 11.3 TBtus by 1999, and industrial and other customers decreased capacity by 2.1 TBtus. </w:t>
      </w:r>
    </w:p>
    <w:p>
      <w:pPr>
        <w:pStyle w:val="eeaopen"/>
        <w:spacing w:lineRule="auto" w:line="240"/>
        <w:rPr/>
      </w:pPr>
      <w:r>
        <w:rPr/>
      </w:r>
    </w:p>
    <w:p>
      <w:pPr>
        <w:pStyle w:val="eeaopen"/>
        <w:spacing w:lineRule="auto" w:line="240"/>
        <w:rPr/>
      </w:pPr>
      <w:r>
        <w:rPr/>
        <w:t>While the amount of storage capacity under contract held by Midwest LDCs declined by more than 10 percent between 1996 and 1999, overall storage capacity held by these LDCs declined at a much slower rate.  Midwestern LDCs own and operate about 610 TBtus of storage capacity in addition to the amount of storage held under contract.  These LDCs have been releasing storage capacity held under contract, while holding onto their own storage capacity.  For these LDCs, self storage tends to be much more valuable than contracted storage due to the increased flexibility available with self-owned storage.</w:t>
      </w:r>
    </w:p>
    <w:p>
      <w:pPr>
        <w:pStyle w:val="eeaopen"/>
        <w:spacing w:lineRule="auto" w:line="240"/>
        <w:rPr/>
      </w:pPr>
      <w:r>
        <w:rPr/>
      </w:r>
    </w:p>
    <w:p>
      <w:pPr>
        <w:pStyle w:val="eeaopen"/>
        <w:spacing w:lineRule="auto" w:line="240"/>
        <w:rPr/>
      </w:pPr>
      <w:r>
        <w:rPr/>
        <w:t xml:space="preserve">Like the Midwest, the use of contracted storage capacity has shifted substantially since 1996 on pipelines primarily serving the Central region.  Between 1996 and 1999, gas and combined utilities reduced the amount of storage capacity under contract on this group of pipelines by almost 40 percent, from 100 TBtus in April of 1996 to 61 TBtus in 1999.  Their share of regional capacity under contract fell from 84.7 to 33.9 percent.  Marketers added 43 TBtus of capacity, for a total of 53 TBtus in 1999.  Pipelines and their affiliated marketers increased capacity sharply from 6.6 TBtus in 1996 to 63 TBtus in 1999. </w:t>
      </w:r>
    </w:p>
    <w:p>
      <w:pPr>
        <w:pStyle w:val="eeaopen"/>
        <w:spacing w:lineRule="auto" w:line="240"/>
        <w:rPr/>
      </w:pPr>
      <w:r>
        <w:rPr/>
      </w:r>
    </w:p>
    <w:p>
      <w:pPr>
        <w:pStyle w:val="eeaopen"/>
        <w:spacing w:lineRule="auto" w:line="240"/>
        <w:rPr/>
      </w:pPr>
      <w:r>
        <w:rPr/>
        <w:t>There was very little change in contracted firm storage capacity on the interstate pipelines primarily serving the Southeast.</w:t>
      </w:r>
      <w:r>
        <w:rPr>
          <w:rStyle w:val="FootnoteCharacters"/>
          <w:rStyle w:val="FootnoteReference"/>
        </w:rPr>
        <w:footnoteReference w:id="8"/>
      </w:r>
      <w:r>
        <w:rPr/>
        <w:t xml:space="preserve">  Capacity held by gas and combined utilities increased slightly from 46 TBtus in 1996 to 48 TBtus in 1999.  The amount of contracted capacity held by pipelines and their affiliated marketers remained constant at 13 TBtus between 1996 and 1999.</w:t>
      </w:r>
    </w:p>
    <w:p>
      <w:pPr>
        <w:pStyle w:val="eeaopen"/>
        <w:spacing w:lineRule="auto" w:line="240"/>
        <w:rPr/>
      </w:pPr>
      <w:r>
        <w:rPr/>
      </w:r>
    </w:p>
    <w:p>
      <w:pPr>
        <w:pStyle w:val="eeaopen"/>
        <w:spacing w:lineRule="auto" w:line="240"/>
        <w:rPr/>
      </w:pPr>
      <w:r>
        <w:rPr/>
        <w:t>Storage capacity under contract on pipelines primarily serving the Southwest increased by 15 percent, from 47 TBtus in 1996 to 54 TBtus in 1999.  Capacity held by gas and combined utilities decreased slightly from 18.2 to 17.0 TBtus.</w:t>
      </w:r>
      <w:r>
        <w:rPr>
          <w:rStyle w:val="FootnoteCharacters"/>
          <w:rStyle w:val="FootnoteReference"/>
        </w:rPr>
        <w:footnoteReference w:id="9"/>
      </w:r>
      <w:r>
        <w:rPr/>
        <w:t xml:space="preserve">  Marketers increased the amount of capacity under contract by 8.3 TBtus to 36.7 TBtus.  Capacity held by industrial and other customers increased modestly from 0.4 to 0.7 TBtus. </w:t>
      </w:r>
    </w:p>
    <w:p>
      <w:pPr>
        <w:pStyle w:val="eeaopen"/>
        <w:spacing w:lineRule="auto" w:line="240"/>
        <w:rPr/>
      </w:pPr>
      <w:r>
        <w:rPr/>
      </w:r>
    </w:p>
    <w:p>
      <w:pPr>
        <w:pStyle w:val="eeaopen"/>
        <w:spacing w:lineRule="auto" w:line="240"/>
        <w:rPr/>
      </w:pPr>
      <w:r>
        <w:rPr/>
        <w:t xml:space="preserve">Contracted storage capacity on pipelines serving the Western region decreased from 16.6 TBtus in 1996 to 8.6 TBtus in 1999.  The most significant change in the Western region was in storage capacity under contract held by gas and combined utilities, which decreased from 115.2 TBtus in 1996 to 5.3 TBtus by 1999.  Capacity held by marketers increased sharply from 0.7 TBtus in 1996 to 2.5 TBtus in 1999.  The Western region has 7.3 TBtus of LDC owned storage capacity, as well as a significant amount of excess pipeline capacity bringing in gas from Canada and the Permian and San Juan Basins.  </w:t>
      </w:r>
    </w:p>
    <w:p>
      <w:pPr>
        <w:pStyle w:val="eeaopen"/>
        <w:spacing w:lineRule="auto" w:line="240"/>
        <w:rPr/>
      </w:pPr>
      <w:r>
        <w:rPr/>
      </w:r>
    </w:p>
    <w:p>
      <w:pPr>
        <w:pStyle w:val="eeaopen"/>
        <w:spacing w:lineRule="auto" w:line="240"/>
        <w:rPr/>
      </w:pPr>
      <w:r>
        <w:rPr/>
      </w:r>
    </w:p>
    <w:p>
      <w:pPr>
        <w:pStyle w:val="Heading2"/>
        <w:ind w:hanging="0" w:start="0"/>
        <w:rPr/>
      </w:pPr>
      <w:r>
        <w:rPr/>
        <w:t>5.3</w:t>
        <w:tab/>
        <w:t>Outlook for Storage Capacity Under Contract</w:t>
      </w:r>
    </w:p>
    <w:p>
      <w:pPr>
        <w:pStyle w:val="eeaopen"/>
        <w:spacing w:lineRule="auto" w:line="240"/>
        <w:rPr/>
      </w:pPr>
      <w:r>
        <w:rPr/>
        <w:t xml:space="preserve">By 2003, about one-half of the current firm capacity contracts will have expired.  As gas distribution deregulation proceeds, LDCs, who may be excluded from the merchant function in some states, will be left with surplus storage capacity.  While some LDCs will be able to assign this surplus capacity to marketers, storage operators will be under pressure to renegotiate these contracts by both the LDCs and the marketers with assigned capacity.   Either way, storage operators will soon be replacing storage contracts negotiated by LDCs (with guaranteed rates of return) with storage contracts negotiated by gas marketers, who are under competitive pressure to hold down costs.  Storage operators with high cost/less flexible storage fields will be at a competitive disadvantage. </w:t>
      </w:r>
    </w:p>
    <w:p>
      <w:pPr>
        <w:pStyle w:val="eeaopen"/>
        <w:spacing w:lineRule="auto" w:line="240"/>
        <w:rPr/>
      </w:pPr>
      <w:r>
        <w:rPr/>
      </w:r>
    </w:p>
    <w:p>
      <w:pPr>
        <w:pStyle w:val="eeaopen"/>
        <w:spacing w:lineRule="auto" w:line="240"/>
        <w:rPr/>
      </w:pPr>
      <w:r>
        <w:rPr/>
        <w:t>Exhibit 5-8 lists the firm storage capacity under contract for interstate storage operators.  The capacity expiration schedule varies by pipeline and by region.  Storage capacity held on pipelines serving the Central and Northeast regions is generally contracted for longer than capacity held in pipelines serving the Southwest and the Midwest regions, which have a large amount of capacity expiring in the next few years.</w:t>
      </w:r>
    </w:p>
    <w:p>
      <w:pPr>
        <w:pStyle w:val="ListBullet"/>
        <w:numPr>
          <w:ilvl w:val="0"/>
          <w:numId w:val="6"/>
        </w:numPr>
        <w:ind w:hanging="0" w:start="0"/>
        <w:rPr/>
      </w:pPr>
      <w:r>
        <w:rPr/>
        <w:t xml:space="preserve">The Central region has half of its current capacity under contract until 2006 and 40 percent until 2010. </w:t>
      </w:r>
    </w:p>
    <w:p>
      <w:pPr>
        <w:pStyle w:val="ListBullet"/>
        <w:numPr>
          <w:ilvl w:val="0"/>
          <w:numId w:val="6"/>
        </w:numPr>
        <w:ind w:hanging="0" w:start="0"/>
        <w:rPr/>
      </w:pPr>
      <w:r>
        <w:rPr/>
        <w:t>The Northeast has 55 percent of its current firm capacity under contract until 2004 and 20 percent until 2010.</w:t>
      </w:r>
    </w:p>
    <w:p>
      <w:pPr>
        <w:pStyle w:val="ListBullet"/>
        <w:numPr>
          <w:ilvl w:val="0"/>
          <w:numId w:val="6"/>
        </w:numPr>
        <w:ind w:hanging="0" w:start="0"/>
        <w:rPr/>
      </w:pPr>
      <w:r>
        <w:rPr/>
        <w:t xml:space="preserve">Only 25 percent of the Southwest’s current firm capacity is under contract past the year 2000.  By 2003, only three percent of the Southwest’s capacity remains under contract.  </w:t>
      </w:r>
    </w:p>
    <w:p>
      <w:pPr>
        <w:pStyle w:val="ListBullet"/>
        <w:numPr>
          <w:ilvl w:val="0"/>
          <w:numId w:val="6"/>
        </w:numPr>
        <w:ind w:hanging="0" w:start="0"/>
        <w:rPr/>
      </w:pPr>
      <w:r>
        <w:rPr/>
        <w:t>In the Midwest, less than half of current capacity under contract will remain under contract after 2000 and only 20 percent will remain under contract past 2005.</w:t>
      </w:r>
    </w:p>
    <w:p>
      <w:pPr>
        <w:pStyle w:val="eeaopen"/>
        <w:spacing w:lineRule="auto" w:line="240"/>
        <w:rPr/>
      </w:pPr>
      <w:r>
        <w:rPr/>
      </w:r>
    </w:p>
    <w:p>
      <w:pPr>
        <w:pStyle w:val="eeaopen"/>
        <w:spacing w:lineRule="auto" w:line="240"/>
        <w:rPr/>
      </w:pPr>
      <w:r>
        <w:rPr/>
        <w:t>The large storage operators display a similar disparity in capacity expiration.  Among the larger storage operators, Tennessee Gas Pipeline and Natural Gas Pipeline of America, have the highest percentage of capacity expiring relatively soon.  Just over 74 percent of NGPL’s and 94 percent of Tennessee’s current firm capacity under contract will expire in 2000.  CNG Transmission, on the other hand, has more than half of current firm capacity under contract through 2006 with 30 percent remaining under contract until at least 2010.</w:t>
      </w:r>
    </w:p>
    <w:p>
      <w:pPr>
        <w:pStyle w:val="eeaopen"/>
        <w:spacing w:lineRule="auto" w:line="240"/>
        <w:rPr/>
      </w:pPr>
      <w:r>
        <w:rPr/>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t xml:space="preserve">Exhibit 5-8  </w:t>
      </w:r>
    </w:p>
    <w:p>
      <w:pPr>
        <w:pStyle w:val="eeaopen"/>
        <w:spacing w:lineRule="auto" w:line="240"/>
        <w:jc w:val="center"/>
        <w:rPr>
          <w:rFonts w:ascii="Arial" w:hAnsi="Arial" w:cs="Arial"/>
          <w:b/>
        </w:rPr>
      </w:pPr>
      <w:r>
        <w:rPr>
          <w:rFonts w:cs="Arial" w:ascii="Arial" w:hAnsi="Arial"/>
          <w:b/>
        </w:rPr>
        <w:t>Existing Interstate Firm Storage Capacity under Contract As Of April 1999</w:t>
      </w:r>
    </w:p>
    <w:p>
      <w:pPr>
        <w:pStyle w:val="eeaopen"/>
        <w:tabs>
          <w:tab w:val="clear" w:pos="720"/>
          <w:tab w:val="left" w:pos="1350" w:leader="none"/>
        </w:tabs>
        <w:spacing w:lineRule="auto" w:line="240"/>
        <w:jc w:val="center"/>
        <w:rPr/>
      </w:pPr>
      <w:r>
        <w:rPr>
          <w:lang w:val="en-CA"/>
        </w:rPr>
        <w:drawing>
          <wp:inline distT="0" distB="0" distL="0" distR="0">
            <wp:extent cx="7820660" cy="5435600"/>
            <wp:effectExtent l="0" t="0" r="0" b="0"/>
            <wp:docPr id="1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title=""/>
                    <pic:cNvPicPr>
                      <a:picLocks noChangeAspect="1" noChangeArrowheads="1"/>
                    </pic:cNvPicPr>
                  </pic:nvPicPr>
                  <pic:blipFill>
                    <a:blip r:embed="rId30"/>
                    <a:srcRect l="-3" t="-5" r="-3" b="-5"/>
                    <a:stretch>
                      <a:fillRect/>
                    </a:stretch>
                  </pic:blipFill>
                  <pic:spPr bwMode="auto">
                    <a:xfrm>
                      <a:off x="0" y="0"/>
                      <a:ext cx="7820660" cy="5435600"/>
                    </a:xfrm>
                    <a:prstGeom prst="rect">
                      <a:avLst/>
                    </a:prstGeom>
                    <a:noFill/>
                  </pic:spPr>
                </pic:pic>
              </a:graphicData>
            </a:graphic>
          </wp:inline>
        </w:drawing>
      </w:r>
      <w:r>
        <w:rPr>
          <w:b/>
        </w:rPr>
        <w:t xml:space="preserve">by </w:t>
      </w:r>
    </w:p>
    <w:p>
      <w:pPr>
        <w:pStyle w:val="eeaopen"/>
        <w:tabs>
          <w:tab w:val="clear" w:pos="720"/>
          <w:tab w:val="left" w:pos="1350" w:leader="none"/>
        </w:tabs>
        <w:spacing w:lineRule="auto" w:line="240"/>
        <w:jc w:val="center"/>
        <w:rPr>
          <w:b/>
        </w:rPr>
      </w:pPr>
      <w:r>
        <w:rPr>
          <w:b/>
        </w:rPr>
      </w:r>
    </w:p>
    <w:p>
      <w:pPr>
        <w:pStyle w:val="eeaopen"/>
        <w:tabs>
          <w:tab w:val="clear" w:pos="720"/>
          <w:tab w:val="left" w:pos="1350" w:leader="none"/>
        </w:tabs>
        <w:spacing w:lineRule="auto" w:line="240"/>
        <w:rPr>
          <w:rFonts w:ascii="Arial" w:hAnsi="Arial" w:cs="Arial"/>
          <w:color w:val="000000"/>
          <w:sz w:val="16"/>
        </w:rPr>
      </w:pPr>
      <w:r>
        <w:rPr>
          <w:rFonts w:cs="Arial" w:ascii="Arial" w:hAnsi="Arial"/>
          <w:color w:val="000000"/>
          <w:sz w:val="16"/>
        </w:rPr>
        <w:t>Source:  FERC Index of Customer Data, April 1999</w:t>
      </w:r>
    </w:p>
    <w:p>
      <w:pPr>
        <w:pStyle w:val="eeaopen"/>
        <w:tabs>
          <w:tab w:val="clear" w:pos="720"/>
          <w:tab w:val="left" w:pos="1350" w:leader="none"/>
        </w:tabs>
        <w:spacing w:lineRule="auto" w:line="240"/>
        <w:rPr>
          <w:b/>
        </w:rPr>
      </w:pPr>
      <w:r>
        <w:rPr>
          <w:b/>
        </w:rPr>
        <w:t>Storage Operator (Trillion Btu of Capacity)</w:t>
      </w:r>
    </w:p>
    <w:p>
      <w:pPr>
        <w:pStyle w:val="eeaopen"/>
        <w:tabs>
          <w:tab w:val="clear" w:pos="720"/>
          <w:tab w:val="left" w:pos="1350" w:leader="none"/>
        </w:tabs>
        <w:spacing w:lineRule="auto" w:line="240"/>
        <w:jc w:val="center"/>
        <w:rPr>
          <w:b/>
        </w:rPr>
      </w:pPr>
      <w:r>
        <w:rPr>
          <w:b/>
        </w:rPr>
      </w:r>
    </w:p>
    <w:p>
      <w:pPr>
        <w:pStyle w:val="Heading1"/>
        <w:ind w:hanging="0" w:start="0"/>
        <w:rPr/>
      </w:pPr>
      <w:r>
        <w:rPr/>
        <w:t>6.  Capacity and Cost of Proposed Increases in Natural Gas Storage Capacity</w:t>
      </w:r>
    </w:p>
    <w:p>
      <w:pPr>
        <w:pStyle w:val="EEAHead1"/>
        <w:spacing w:before="0" w:after="0"/>
        <w:rPr>
          <w:b w:val="false"/>
        </w:rPr>
      </w:pPr>
      <w:r>
        <w:rPr>
          <w:b w:val="false"/>
        </w:rPr>
      </w:r>
    </w:p>
    <w:p>
      <w:pPr>
        <w:pStyle w:val="EEAHead1"/>
        <w:spacing w:before="0" w:after="0"/>
        <w:rPr>
          <w:b w:val="false"/>
        </w:rPr>
      </w:pPr>
      <w:r>
        <w:rPr>
          <w:b w:val="false"/>
        </w:rPr>
      </w:r>
    </w:p>
    <w:p>
      <w:pPr>
        <w:pStyle w:val="EEAHead1"/>
        <w:spacing w:before="0" w:after="0"/>
        <w:rPr>
          <w:b w:val="false"/>
        </w:rPr>
      </w:pPr>
      <w:r>
        <w:rPr>
          <w:b w:val="false"/>
        </w:rPr>
      </w:r>
    </w:p>
    <w:p>
      <w:pPr>
        <w:pStyle w:val="eeaopen"/>
        <w:spacing w:lineRule="auto" w:line="240"/>
        <w:rPr/>
      </w:pPr>
      <w:r>
        <w:rPr/>
        <w:t>Gas storage competes with both pipeline capacity and wellhead supplies to meet peak demand.  When costs are competitive, market area storage facilities are often used as an alternative to extra pipeline capacity to meet peak demand.  However, storage is not an attractive alternative when pipeline capacity costs are lower than storage development costs, or when excess pipeline capacity drives down capacity value.  Similarly, production region storage competes with wellhead supplies.  When regional wellhead production capacity is fully utilized, seasonal variations in gas wellhead prices tend to increase, improving the value of production region storage capacity, and improving the economics of new production region storage capacity.  Overall, when pipeline capacity is highly utilized, and wellhead capacity constraints cause relatively large seasonal swings in gas prices, gas storage becomes very valuable.  However, the decision to build incremental storage capacity depends on the economics of individual projects, which vary widely.  This section reviews the cost to build and operate storage facilities.</w:t>
      </w:r>
    </w:p>
    <w:p>
      <w:pPr>
        <w:pStyle w:val="eeaopen"/>
        <w:spacing w:lineRule="auto" w:line="240"/>
        <w:rPr/>
      </w:pPr>
      <w:r>
        <w:rPr/>
      </w:r>
    </w:p>
    <w:p>
      <w:pPr>
        <w:pStyle w:val="eeaopen"/>
        <w:spacing w:lineRule="auto" w:line="240"/>
        <w:rPr/>
      </w:pPr>
      <w:r>
        <w:rPr/>
      </w:r>
    </w:p>
    <w:p>
      <w:pPr>
        <w:pStyle w:val="Heading2"/>
        <w:ind w:hanging="0" w:start="0"/>
        <w:rPr/>
      </w:pPr>
      <w:r>
        <w:rPr/>
        <w:t>6.1</w:t>
        <w:tab/>
        <w:t>Proposed Storage Projects</w:t>
      </w:r>
    </w:p>
    <w:p>
      <w:pPr>
        <w:pStyle w:val="eeaopen"/>
        <w:spacing w:lineRule="auto" w:line="240"/>
        <w:rPr/>
      </w:pPr>
      <w:r>
        <w:rPr/>
      </w:r>
    </w:p>
    <w:p>
      <w:pPr>
        <w:pStyle w:val="eeaopen"/>
        <w:spacing w:lineRule="auto" w:line="240"/>
        <w:rPr/>
      </w:pPr>
      <w:r>
        <w:rPr/>
        <w:t>The Energy Information Agency (EIA) has identified a total of 94 proposed storage projects with a total of 364 Bcf of working gas capacity and 10.5 Bcfd of deliverability.  Of these proposed projects, 35 are new storage projects with a planned total of 289 Bcf of working gas capacity and deliverability of 6.4 Bcfd.  The working gas capacity and deliverability of these projects are summarized in Exhibit 5-1.</w:t>
      </w:r>
    </w:p>
    <w:p>
      <w:pPr>
        <w:pStyle w:val="eeaopen"/>
        <w:spacing w:lineRule="auto" w:line="240"/>
        <w:rPr/>
      </w:pPr>
      <w:r>
        <w:rPr/>
      </w:r>
    </w:p>
    <w:p>
      <w:pPr>
        <w:pStyle w:val="eeaopen"/>
        <w:spacing w:lineRule="auto" w:line="240"/>
        <w:rPr/>
      </w:pPr>
      <w:r>
        <w:rPr/>
        <w:t>The majority of the proposed storage projects are in depleted fields.  There are 20 planned new depleted fields, with a total capacity of 245 Bcf of working gas and 3.7 Bcfd of deliverability in 20 different fields, and 41 depleted field expansion projects, with a total of 45 Bcf of working gas and 1.3 Bcfd of deliverability.  Forty of the projects are located in the Northeast and Midwest.  Seven new projects and one expansion are planned for the southeast region and will add a total of 41 Bcf of working gas capacity and 0.6 Bcfd of deliverability.</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t>Exhibit 6-1</w:t>
      </w:r>
    </w:p>
    <w:p>
      <w:pPr>
        <w:pStyle w:val="eeaopen"/>
        <w:spacing w:lineRule="auto" w:line="240"/>
        <w:jc w:val="center"/>
        <w:rPr>
          <w:rFonts w:ascii="Arial" w:hAnsi="Arial" w:cs="Arial"/>
          <w:b/>
        </w:rPr>
      </w:pPr>
      <w:r>
        <w:rPr>
          <w:rFonts w:cs="Arial" w:ascii="Arial" w:hAnsi="Arial"/>
          <w:b/>
        </w:rPr>
        <w:t>Total Planned Storage Capacity Additions</w:t>
      </w:r>
    </w:p>
    <w:p>
      <w:pPr>
        <w:pStyle w:val="eeaopen"/>
        <w:spacing w:lineRule="auto" w:line="240"/>
        <w:jc w:val="center"/>
        <w:rPr>
          <w:rFonts w:ascii="Arial" w:hAnsi="Arial" w:cs="Arial"/>
          <w:b/>
        </w:rPr>
      </w:pPr>
      <w:r>
        <w:rPr>
          <w:rFonts w:cs="Arial" w:ascii="Arial" w:hAnsi="Arial"/>
          <w:b/>
        </w:rPr>
        <w:t>by Region and Type Of Storage As Of December 1998</w:t>
      </w:r>
    </w:p>
    <w:p>
      <w:pPr>
        <w:pStyle w:val="eeaopen"/>
        <w:spacing w:lineRule="auto" w:line="240"/>
        <w:rPr>
          <w:rFonts w:ascii="Arial" w:hAnsi="Arial" w:cs="Arial"/>
          <w:b/>
        </w:rPr>
      </w:pPr>
      <w:r>
        <w:rPr>
          <w:rFonts w:cs="Arial" w:ascii="Arial" w:hAnsi="Arial"/>
          <w:b/>
        </w:rPr>
      </w:r>
    </w:p>
    <w:p>
      <w:pPr>
        <w:pStyle w:val="eeaopen"/>
        <w:spacing w:lineRule="auto" w:line="240"/>
        <w:rPr/>
      </w:pPr>
      <w:r>
        <w:rPr/>
      </w:r>
    </w:p>
    <w:p>
      <w:pPr>
        <w:pStyle w:val="eeaopen"/>
        <w:spacing w:lineRule="auto" w:line="240"/>
        <w:rPr>
          <w:lang w:val="en-CA"/>
        </w:rPr>
      </w:pPr>
      <w:r>
        <w:rPr>
          <w:lang w:val="en-CA"/>
        </w:rPr>
        <w:drawing>
          <wp:inline distT="0" distB="0" distL="0" distR="0">
            <wp:extent cx="8773795" cy="3140075"/>
            <wp:effectExtent l="0" t="0" r="0" b="0"/>
            <wp:docPr id="1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title=""/>
                    <pic:cNvPicPr>
                      <a:picLocks noChangeAspect="1" noChangeArrowheads="1"/>
                    </pic:cNvPicPr>
                  </pic:nvPicPr>
                  <pic:blipFill>
                    <a:blip r:embed="rId31"/>
                    <a:srcRect l="-3" t="-9" r="-3" b="-9"/>
                    <a:stretch>
                      <a:fillRect/>
                    </a:stretch>
                  </pic:blipFill>
                  <pic:spPr bwMode="auto">
                    <a:xfrm>
                      <a:off x="0" y="0"/>
                      <a:ext cx="8773795" cy="3140075"/>
                    </a:xfrm>
                    <a:prstGeom prst="rect">
                      <a:avLst/>
                    </a:prstGeom>
                    <a:noFill/>
                  </pic:spPr>
                </pic:pic>
              </a:graphicData>
            </a:graphic>
          </wp:inline>
        </w:drawing>
      </w:r>
    </w:p>
    <w:p>
      <w:pPr>
        <w:pStyle w:val="eeaopen"/>
        <w:spacing w:lineRule="auto" w:line="240"/>
        <w:rPr>
          <w:sz w:val="16"/>
          <w:lang w:val="en-CA"/>
        </w:rPr>
      </w:pPr>
      <w:r>
        <w:rPr>
          <w:sz w:val="16"/>
          <w:lang w:val="en-CA"/>
        </w:rPr>
      </w:r>
    </w:p>
    <w:p>
      <w:pPr>
        <w:pStyle w:val="eeaopen"/>
        <w:spacing w:lineRule="auto" w:line="240"/>
        <w:rPr>
          <w:sz w:val="16"/>
        </w:rPr>
      </w:pPr>
      <w:r>
        <w:rPr>
          <w:sz w:val="16"/>
        </w:rPr>
      </w:r>
    </w:p>
    <w:p>
      <w:pPr>
        <w:pStyle w:val="eeaopen"/>
        <w:spacing w:lineRule="auto" w:line="240"/>
        <w:rPr>
          <w:sz w:val="16"/>
        </w:rPr>
      </w:pPr>
      <w:r>
        <w:rPr>
          <w:sz w:val="16"/>
        </w:rPr>
        <w:t>Source: U.S. Energy Information Administration Gas Information System (EIAGIS)</w:t>
      </w:r>
    </w:p>
    <w:p>
      <w:pPr>
        <w:pStyle w:val="eeaopen"/>
        <w:spacing w:lineRule="auto" w:line="240"/>
        <w:rPr>
          <w:sz w:val="16"/>
        </w:rPr>
      </w:pPr>
      <w:r>
        <w:rPr>
          <w:sz w:val="16"/>
        </w:rPr>
      </w:r>
    </w:p>
    <w:p>
      <w:pPr>
        <w:pStyle w:val="eeaopen"/>
        <w:spacing w:lineRule="auto" w:line="240"/>
        <w:rPr/>
      </w:pPr>
      <w:r>
        <w:rPr/>
      </w:r>
    </w:p>
    <w:p>
      <w:pPr>
        <w:pStyle w:val="eeaopen"/>
        <w:spacing w:lineRule="auto" w:line="240"/>
        <w:rPr/>
      </w:pPr>
      <w:r>
        <w:rPr/>
        <w:t>Twenty-one proposed salt cavern projects are currently in the EIA database.  Five projects, including two new facilities, are planned in the Central region.  These projects will add a total of 20 Bcf of working gas capacity and 1.1 Bcfd of deliverability.  The EIA database includes 11 planned projects in the Southwest, ten of which are expansion projects, for a total of 16 Bcf of working capacity and 1.1 Bcfd of deliverability.  There are four salt cavern projects planned in the Northeast for a total working gas capacity of 6.3 Bcf and deliverability of 1.0 Bcfd.  One expansion project is planned in the southeast.</w:t>
      </w:r>
    </w:p>
    <w:p>
      <w:pPr>
        <w:pStyle w:val="eeaopen"/>
        <w:spacing w:lineRule="auto" w:line="240"/>
        <w:rPr/>
      </w:pPr>
      <w:r>
        <w:rPr/>
      </w:r>
    </w:p>
    <w:p>
      <w:pPr>
        <w:pStyle w:val="eeaopen"/>
        <w:spacing w:lineRule="auto" w:line="240"/>
        <w:rPr/>
      </w:pPr>
      <w:r>
        <w:rPr/>
        <w:t>There are four aquifer and eight LNG projects.  Three new aquifer facilities are planned in the Midwest and Central region and one expansion is being developed in the West.  The total planned new aquifer storage capacity is 25 Bcf of working gas and 0.4 Bcfd of deliverability.   The LNG projects are all in the Northeast and Southeast regions and will add 12 Bcf of working gas capacity and 1.6 Bcfd of deliverability.</w:t>
      </w:r>
    </w:p>
    <w:p>
      <w:pPr>
        <w:pStyle w:val="eeaopen"/>
        <w:spacing w:lineRule="auto" w:line="240"/>
        <w:rPr/>
      </w:pPr>
      <w:r>
        <w:rPr/>
      </w:r>
    </w:p>
    <w:p>
      <w:pPr>
        <w:pStyle w:val="eeaopen"/>
        <w:spacing w:lineRule="auto" w:line="240"/>
        <w:rPr/>
      </w:pPr>
      <w:r>
        <w:rPr/>
        <w:t>It is likely that some of these projects will not be built.  Of the 94 storage projects, 53 are currently in development and will add 157 Bcf of working gas capacity and 3.6 Bcf of deliverability.  Nineteen projects are listed as being “on hold.”  These projects account for about one-third of the total proposed working gas and deliverability additions.  The other 17 projects are in the planning or feasibility stages.  Exhibit 6-2 lists proposed working gas capacity by planned completion data and project status.</w:t>
      </w:r>
    </w:p>
    <w:p>
      <w:pPr>
        <w:pStyle w:val="eeaopen"/>
        <w:spacing w:lineRule="auto" w:line="240"/>
        <w:rPr/>
      </w:pPr>
      <w:r>
        <w:rPr/>
      </w:r>
    </w:p>
    <w:p>
      <w:pPr>
        <w:pStyle w:val="eeaopen"/>
        <w:spacing w:lineRule="auto" w:line="240"/>
        <w:rPr/>
      </w:pPr>
      <w:r>
        <w:rPr/>
      </w:r>
    </w:p>
    <w:p>
      <w:pPr>
        <w:pStyle w:val="Heading2"/>
        <w:ind w:hanging="0" w:start="0"/>
        <w:rPr/>
      </w:pPr>
      <w:r>
        <w:rPr/>
        <w:t>6.2</w:t>
        <w:tab/>
        <w:t xml:space="preserve"> Storage Field Development Costs</w:t>
      </w:r>
    </w:p>
    <w:p>
      <w:pPr>
        <w:pStyle w:val="eeaopen"/>
        <w:spacing w:lineRule="auto" w:line="240"/>
        <w:rPr/>
      </w:pPr>
      <w:r>
        <w:rPr/>
        <w:t>About 80 percent of the proposed storage projects included in the EIGIS database include data on project costs.  This data was used to calculate storage field construction costs per unit of working gas capacity and deliverability by type of field for the proposed storage projects.  Since projects without published construction costs have been excluded, the number of projects and the total capacity to be added will not match the totals in Exhibits 6-1 and 6-2.  Exhibits 6-3 and 6-4 illustrate the costs of incremental storage capacity and deliverability for all projects with available cost data.  The cost curves shown in these two figures represent storage supply cost curves for proposed storage projects, and were generated by aggregating project by project cost data.  The projects were sorted based on cost per unit of incremental capacity.</w:t>
      </w:r>
      <w:r>
        <mc:AlternateContent>
          <mc:Choice Requires="wps">
            <w:drawing>
              <wp:anchor behindDoc="0" distT="0" distB="0" distL="114935" distR="114935" simplePos="0" locked="0" layoutInCell="0" allowOverlap="1" relativeHeight="44">
                <wp:simplePos x="0" y="0"/>
                <wp:positionH relativeFrom="column">
                  <wp:posOffset>-469900</wp:posOffset>
                </wp:positionH>
                <wp:positionV relativeFrom="paragraph">
                  <wp:posOffset>134620</wp:posOffset>
                </wp:positionV>
                <wp:extent cx="6114415" cy="3500120"/>
                <wp:effectExtent l="0" t="0" r="0" b="0"/>
                <wp:wrapTopAndBottom/>
                <wp:docPr id="17" name="Frame7"/>
                <a:graphic xmlns:a="http://schemas.openxmlformats.org/drawingml/2006/main">
                  <a:graphicData uri="http://schemas.microsoft.com/office/word/2010/wordprocessingShape">
                    <wps:wsp>
                      <wps:cNvSpPr txBox="1"/>
                      <wps:spPr>
                        <a:xfrm>
                          <a:off x="0" y="0"/>
                          <a:ext cx="6114415" cy="3500120"/>
                        </a:xfrm>
                        <a:prstGeom prst="rect"/>
                        <a:solidFill>
                          <a:srgbClr val="FFFFFF">
                            <a:alpha val="0"/>
                          </a:srgbClr>
                        </a:solidFill>
                        <a:ln w="25400">
                          <a:solidFill>
                            <a:srgbClr val="000000"/>
                          </a:solidFill>
                        </a:ln>
                      </wps:spPr>
                      <wps:txbx>
                        <w:txbxContent>
                          <w:tbl>
                            <w:tblPr>
                              <w:tblW w:w="9276" w:type="dxa"/>
                              <w:jc w:val="start"/>
                              <w:tblInd w:w="108" w:type="dxa"/>
                              <w:tblLayout w:type="fixed"/>
                              <w:tblCellMar>
                                <w:top w:w="0" w:type="dxa"/>
                                <w:start w:w="108" w:type="dxa"/>
                                <w:bottom w:w="0" w:type="dxa"/>
                                <w:end w:w="108" w:type="dxa"/>
                              </w:tblCellMar>
                            </w:tblPr>
                            <w:tblGrid>
                              <w:gridCol w:w="9276"/>
                            </w:tblGrid>
                            <w:tr>
                              <w:trPr/>
                              <w:tc>
                                <w:tcPr>
                                  <w:tcW w:w="9276" w:type="dxa"/>
                                  <w:tcBorders>
                                    <w:top w:val="single" w:sz="4" w:space="0" w:color="000000"/>
                                    <w:start w:val="single" w:sz="4" w:space="0" w:color="000000"/>
                                    <w:bottom w:val="single" w:sz="4" w:space="0" w:color="000000"/>
                                    <w:end w:val="single" w:sz="4" w:space="0" w:color="000000"/>
                                  </w:tcBorders>
                                  <w:shd w:fill="D8D8D8" w:val="clear"/>
                                </w:tcPr>
                                <w:p>
                                  <w:pPr>
                                    <w:pStyle w:val="eeaopen"/>
                                    <w:shd w:fill="D8D8D8" w:val="clear"/>
                                    <w:jc w:val="center"/>
                                    <w:rPr>
                                      <w:b/>
                                    </w:rPr>
                                  </w:pPr>
                                  <w:r>
                                    <w:rPr>
                                      <w:b/>
                                    </w:rPr>
                                    <w:t>Storage Field Expansion Cost Data Sources</w:t>
                                  </w:r>
                                </w:p>
                                <w:p>
                                  <w:pPr>
                                    <w:pStyle w:val="eeaopen"/>
                                    <w:shd w:fill="D8D8D8" w:val="clear"/>
                                    <w:jc w:val="center"/>
                                    <w:rPr>
                                      <w:b/>
                                    </w:rPr>
                                  </w:pPr>
                                  <w:r>
                                    <w:rPr>
                                      <w:b/>
                                    </w:rPr>
                                  </w:r>
                                </w:p>
                                <w:p>
                                  <w:pPr>
                                    <w:pStyle w:val="eeaopen"/>
                                    <w:shd w:fill="D8D8D8" w:val="clear"/>
                                    <w:spacing w:lineRule="auto" w:line="240"/>
                                    <w:rPr/>
                                  </w:pPr>
                                  <w:r>
                                    <w:rPr/>
                                    <w:t>The main sources for storage construction and operating costs include:</w:t>
                                  </w:r>
                                </w:p>
                                <w:p>
                                  <w:pPr>
                                    <w:pStyle w:val="ListBullet"/>
                                    <w:numPr>
                                      <w:ilvl w:val="0"/>
                                      <w:numId w:val="6"/>
                                    </w:numPr>
                                    <w:shd w:fill="D8D8D8" w:val="clear"/>
                                    <w:ind w:hanging="0" w:start="0"/>
                                    <w:rPr/>
                                  </w:pPr>
                                  <w:r>
                                    <w:rPr>
                                      <w:b/>
                                    </w:rPr>
                                    <w:t xml:space="preserve">EIAGIS </w:t>
                                  </w:r>
                                  <w:r>
                                    <w:rPr/>
                                    <w:t xml:space="preserve"> - The Energy Information Agency (EIA) Gas Information System database contains a list of proposed storage field projects slated to be built by the year 2004.  The database contains data on the type of field, proposed working and base gas capacity, maximum deliverability and total cost when available. </w:t>
                                  </w:r>
                                </w:p>
                                <w:p>
                                  <w:pPr>
                                    <w:pStyle w:val="ListBullet"/>
                                    <w:numPr>
                                      <w:ilvl w:val="0"/>
                                      <w:numId w:val="6"/>
                                    </w:numPr>
                                    <w:shd w:fill="D8D8D8" w:val="clear"/>
                                    <w:ind w:hanging="0" w:start="0"/>
                                    <w:rPr/>
                                  </w:pPr>
                                  <w:r>
                                    <w:rPr>
                                      <w:b/>
                                    </w:rPr>
                                    <w:t>FERC Form 2</w:t>
                                  </w:r>
                                  <w:r>
                                    <w:rPr/>
                                    <w:t xml:space="preserve"> - All interstate transmission and storage providers with an annual throughput of 50 Bcf or more are required by FERC to file a FERC Form 2 report on an annual basis.  This report contains general corporate information, detailed financial statements and general engineering statistics. </w:t>
                                  </w:r>
                                </w:p>
                                <w:p>
                                  <w:pPr>
                                    <w:pStyle w:val="ListBullet"/>
                                    <w:numPr>
                                      <w:ilvl w:val="0"/>
                                      <w:numId w:val="6"/>
                                    </w:numPr>
                                    <w:shd w:fill="D8D8D8" w:val="clear"/>
                                    <w:ind w:hanging="0" w:start="0"/>
                                    <w:rPr>
                                      <w:b/>
                                    </w:rPr>
                                  </w:pPr>
                                  <w:r>
                                    <w:rPr>
                                      <w:b/>
                                    </w:rPr>
                                    <w:t>FERC Form 2-A</w:t>
                                  </w:r>
                                  <w:r>
                                    <w:rPr/>
                                    <w:t xml:space="preserve"> - All interstate transmission and storage providers with an annual throughput of more than 200 MMcf but less than 50 Bcf  are required by FERC to file a FERC Form 2-A report on an annual basis.  This report is a shorter version of the Form 2 and contains general corporate information, detailed financial statements and general engineering statistics.</w:t>
                                  </w:r>
                                </w:p>
                                <w:p>
                                  <w:pPr>
                                    <w:pStyle w:val="ListBullet"/>
                                    <w:numPr>
                                      <w:ilvl w:val="0"/>
                                      <w:numId w:val="6"/>
                                    </w:numPr>
                                    <w:shd w:fill="D8D8D8" w:val="clear"/>
                                    <w:ind w:hanging="0" w:start="0"/>
                                    <w:rPr>
                                      <w:b/>
                                    </w:rPr>
                                  </w:pPr>
                                  <w:r>
                                    <w:rPr>
                                      <w:b/>
                                    </w:rPr>
                                    <w:t>Applications For Public Convenience And Necessity</w:t>
                                  </w:r>
                                  <w:r>
                                    <w:rPr/>
                                    <w:t xml:space="preserve"> - FERC requires all interstate transmission and storage providers applying for approval to build new or expand current storage fields to provide project costs in Exhibits K and N of their Application For Public Convenience And Necessity.  These project development and projected operation and maintenance expenses are used to calculate the maximum cost based storage tariff rates.  FERC has begun to grant storage operators the right to charge market based rates for their services if the storage provider can demonstrate that they can not yield market power.  Storage project cost data is withheld from public release for these market-rate based projects.</w:t>
                                  </w:r>
                                </w:p>
                                <w:p>
                                  <w:pPr>
                                    <w:pStyle w:val="eeaopen"/>
                                    <w:shd w:fill="CCCCCC" w:val="clear"/>
                                    <w:jc w:val="center"/>
                                    <w:rPr>
                                      <w:b/>
                                    </w:rPr>
                                  </w:pPr>
                                  <w:r>
                                    <w:rPr>
                                      <w:b/>
                                    </w:rPr>
                                  </w:r>
                                </w:p>
                              </w:tc>
                            </w:tr>
                          </w:tbl>
                          <w:p>
                            <w:pPr>
                              <w:pStyle w:val="EEAHead1"/>
                              <w:rPr>
                                <w:b w:val="false"/>
                                <w:sz w:val="22"/>
                              </w:rPr>
                            </w:pPr>
                            <w:r>
                              <w:rPr>
                                <w:b w:val="false"/>
                                <w:sz w:val="22"/>
                              </w:rPr>
                            </w:r>
                          </w:p>
                          <w:p>
                            <w:pPr>
                              <w:pStyle w:val="Normal"/>
                              <w:rPr>
                                <w:b/>
                                <w:sz w:val="22"/>
                              </w:rPr>
                            </w:pPr>
                            <w:r>
                              <w:rPr>
                                <w:b/>
                                <w:sz w:val="22"/>
                              </w:rPr>
                            </w:r>
                          </w:p>
                        </w:txbxContent>
                      </wps:txbx>
                      <wps:bodyPr anchor="t" lIns="91440" tIns="45720" rIns="91440" bIns="45720">
                        <a:noAutofit/>
                      </wps:bodyPr>
                    </wps:wsp>
                  </a:graphicData>
                </a:graphic>
              </wp:anchor>
            </w:drawing>
          </mc:Choice>
          <mc:Fallback>
            <w:pict>
              <v:rect fillcolor="#FFFFFF" strokecolor="#000000" strokeweight="2pt" style="position:absolute;rotation:-0;width:481.45pt;height:275.6pt;mso-wrap-distance-left:9.05pt;mso-wrap-distance-right:9.05pt;mso-wrap-distance-top:0pt;mso-wrap-distance-bottom:0pt;margin-top:10.6pt;mso-position-vertical-relative:text;margin-left:-37pt;mso-position-horizontal-relative:text">
                <v:fill opacity="0f"/>
                <v:textbox>
                  <w:txbxContent>
                    <w:tbl>
                      <w:tblPr>
                        <w:tblW w:w="9276" w:type="dxa"/>
                        <w:jc w:val="start"/>
                        <w:tblInd w:w="108" w:type="dxa"/>
                        <w:tblLayout w:type="fixed"/>
                        <w:tblCellMar>
                          <w:top w:w="0" w:type="dxa"/>
                          <w:start w:w="108" w:type="dxa"/>
                          <w:bottom w:w="0" w:type="dxa"/>
                          <w:end w:w="108" w:type="dxa"/>
                        </w:tblCellMar>
                      </w:tblPr>
                      <w:tblGrid>
                        <w:gridCol w:w="9276"/>
                      </w:tblGrid>
                      <w:tr>
                        <w:trPr/>
                        <w:tc>
                          <w:tcPr>
                            <w:tcW w:w="9276" w:type="dxa"/>
                            <w:tcBorders>
                              <w:top w:val="single" w:sz="4" w:space="0" w:color="000000"/>
                              <w:start w:val="single" w:sz="4" w:space="0" w:color="000000"/>
                              <w:bottom w:val="single" w:sz="4" w:space="0" w:color="000000"/>
                              <w:end w:val="single" w:sz="4" w:space="0" w:color="000000"/>
                            </w:tcBorders>
                            <w:shd w:fill="D8D8D8" w:val="clear"/>
                          </w:tcPr>
                          <w:p>
                            <w:pPr>
                              <w:pStyle w:val="eeaopen"/>
                              <w:shd w:fill="D8D8D8" w:val="clear"/>
                              <w:jc w:val="center"/>
                              <w:rPr>
                                <w:b/>
                              </w:rPr>
                            </w:pPr>
                            <w:r>
                              <w:rPr>
                                <w:b/>
                              </w:rPr>
                              <w:t>Storage Field Expansion Cost Data Sources</w:t>
                            </w:r>
                          </w:p>
                          <w:p>
                            <w:pPr>
                              <w:pStyle w:val="eeaopen"/>
                              <w:shd w:fill="D8D8D8" w:val="clear"/>
                              <w:jc w:val="center"/>
                              <w:rPr>
                                <w:b/>
                              </w:rPr>
                            </w:pPr>
                            <w:r>
                              <w:rPr>
                                <w:b/>
                              </w:rPr>
                            </w:r>
                          </w:p>
                          <w:p>
                            <w:pPr>
                              <w:pStyle w:val="eeaopen"/>
                              <w:shd w:fill="D8D8D8" w:val="clear"/>
                              <w:spacing w:lineRule="auto" w:line="240"/>
                              <w:rPr/>
                            </w:pPr>
                            <w:r>
                              <w:rPr/>
                              <w:t>The main sources for storage construction and operating costs include:</w:t>
                            </w:r>
                          </w:p>
                          <w:p>
                            <w:pPr>
                              <w:pStyle w:val="ListBullet"/>
                              <w:numPr>
                                <w:ilvl w:val="0"/>
                                <w:numId w:val="6"/>
                              </w:numPr>
                              <w:shd w:fill="D8D8D8" w:val="clear"/>
                              <w:ind w:hanging="0" w:start="0"/>
                              <w:rPr/>
                            </w:pPr>
                            <w:r>
                              <w:rPr>
                                <w:b/>
                              </w:rPr>
                              <w:t xml:space="preserve">EIAGIS </w:t>
                            </w:r>
                            <w:r>
                              <w:rPr/>
                              <w:t xml:space="preserve"> - The Energy Information Agency (EIA) Gas Information System database contains a list of proposed storage field projects slated to be built by the year 2004.  The database contains data on the type of field, proposed working and base gas capacity, maximum deliverability and total cost when available. </w:t>
                            </w:r>
                          </w:p>
                          <w:p>
                            <w:pPr>
                              <w:pStyle w:val="ListBullet"/>
                              <w:numPr>
                                <w:ilvl w:val="0"/>
                                <w:numId w:val="6"/>
                              </w:numPr>
                              <w:shd w:fill="D8D8D8" w:val="clear"/>
                              <w:ind w:hanging="0" w:start="0"/>
                              <w:rPr/>
                            </w:pPr>
                            <w:r>
                              <w:rPr>
                                <w:b/>
                              </w:rPr>
                              <w:t>FERC Form 2</w:t>
                            </w:r>
                            <w:r>
                              <w:rPr/>
                              <w:t xml:space="preserve"> - All interstate transmission and storage providers with an annual throughput of 50 Bcf or more are required by FERC to file a FERC Form 2 report on an annual basis.  This report contains general corporate information, detailed financial statements and general engineering statistics. </w:t>
                            </w:r>
                          </w:p>
                          <w:p>
                            <w:pPr>
                              <w:pStyle w:val="ListBullet"/>
                              <w:numPr>
                                <w:ilvl w:val="0"/>
                                <w:numId w:val="6"/>
                              </w:numPr>
                              <w:shd w:fill="D8D8D8" w:val="clear"/>
                              <w:ind w:hanging="0" w:start="0"/>
                              <w:rPr>
                                <w:b/>
                              </w:rPr>
                            </w:pPr>
                            <w:r>
                              <w:rPr>
                                <w:b/>
                              </w:rPr>
                              <w:t>FERC Form 2-A</w:t>
                            </w:r>
                            <w:r>
                              <w:rPr/>
                              <w:t xml:space="preserve"> - All interstate transmission and storage providers with an annual throughput of more than 200 MMcf but less than 50 Bcf  are required by FERC to file a FERC Form 2-A report on an annual basis.  This report is a shorter version of the Form 2 and contains general corporate information, detailed financial statements and general engineering statistics.</w:t>
                            </w:r>
                          </w:p>
                          <w:p>
                            <w:pPr>
                              <w:pStyle w:val="ListBullet"/>
                              <w:numPr>
                                <w:ilvl w:val="0"/>
                                <w:numId w:val="6"/>
                              </w:numPr>
                              <w:shd w:fill="D8D8D8" w:val="clear"/>
                              <w:ind w:hanging="0" w:start="0"/>
                              <w:rPr>
                                <w:b/>
                              </w:rPr>
                            </w:pPr>
                            <w:r>
                              <w:rPr>
                                <w:b/>
                              </w:rPr>
                              <w:t>Applications For Public Convenience And Necessity</w:t>
                            </w:r>
                            <w:r>
                              <w:rPr/>
                              <w:t xml:space="preserve"> - FERC requires all interstate transmission and storage providers applying for approval to build new or expand current storage fields to provide project costs in Exhibits K and N of their Application For Public Convenience And Necessity.  These project development and projected operation and maintenance expenses are used to calculate the maximum cost based storage tariff rates.  FERC has begun to grant storage operators the right to charge market based rates for their services if the storage provider can demonstrate that they can not yield market power.  Storage project cost data is withheld from public release for these market-rate based projects.</w:t>
                            </w:r>
                          </w:p>
                          <w:p>
                            <w:pPr>
                              <w:pStyle w:val="eeaopen"/>
                              <w:shd w:fill="CCCCCC" w:val="clear"/>
                              <w:jc w:val="center"/>
                              <w:rPr>
                                <w:b/>
                              </w:rPr>
                            </w:pPr>
                            <w:r>
                              <w:rPr>
                                <w:b/>
                              </w:rPr>
                            </w:r>
                          </w:p>
                        </w:tc>
                      </w:tr>
                    </w:tbl>
                    <w:p>
                      <w:pPr>
                        <w:pStyle w:val="EEAHead1"/>
                        <w:rPr>
                          <w:b w:val="false"/>
                          <w:sz w:val="22"/>
                        </w:rPr>
                      </w:pPr>
                      <w:r>
                        <w:rPr>
                          <w:b w:val="false"/>
                          <w:sz w:val="22"/>
                        </w:rPr>
                      </w:r>
                    </w:p>
                    <w:p>
                      <w:pPr>
                        <w:pStyle w:val="Normal"/>
                        <w:rPr>
                          <w:b/>
                          <w:sz w:val="22"/>
                        </w:rPr>
                      </w:pPr>
                      <w:r>
                        <w:rPr>
                          <w:b/>
                          <w:sz w:val="22"/>
                        </w:rPr>
                      </w:r>
                    </w:p>
                  </w:txbxContent>
                </v:textbox>
                <w10:wrap type="topAndBottom"/>
              </v:rect>
            </w:pict>
          </mc:Fallback>
        </mc:AlternateContent>
      </w:r>
    </w:p>
    <w:p>
      <w:pPr>
        <w:pStyle w:val="eeaopen"/>
        <w:spacing w:lineRule="auto" w:line="240"/>
        <w:rPr/>
      </w:pPr>
      <w:r>
        <w:rPr/>
      </w:r>
    </w:p>
    <w:p>
      <w:pPr>
        <w:pStyle w:val="eeaopen"/>
        <w:spacing w:lineRule="auto" w:line="240"/>
        <w:rPr/>
      </w:pPr>
      <w:r>
        <w:rPr/>
        <w:t>The incremental costs of adding storage capacity and deliverability differ widely by location and type of facility.   Exhibit 6-5 lists the average cost per working gas capacity and deliverability on a regional and facility type basis.  Appendix A includes a more detailed look at the costs of three different storage projects, selected to illustrate the costs of different types of storage capacity.  The projects in this appendix include a salt cavern expansion, development of a depleted field, and an LNG storage facility.</w:t>
      </w:r>
    </w:p>
    <w:p>
      <w:pPr>
        <w:pStyle w:val="eeaopen"/>
        <w:spacing w:lineRule="auto" w:line="240"/>
        <w:rPr/>
      </w:pPr>
      <w:r>
        <w:rPr/>
      </w:r>
    </w:p>
    <w:p>
      <w:pPr>
        <w:pStyle w:val="Heading3"/>
        <w:ind w:hanging="0" w:start="0"/>
        <w:rPr/>
      </w:pPr>
      <w:r>
        <w:rPr/>
        <w:t xml:space="preserve">Depleted fields </w:t>
      </w:r>
    </w:p>
    <w:p>
      <w:pPr>
        <w:pStyle w:val="eeaopen"/>
        <w:spacing w:lineRule="auto" w:line="240"/>
        <w:rPr/>
      </w:pPr>
      <w:r>
        <w:rPr/>
        <w:t>Depleted fields are relatively inexpensive to develop in terms of total gas capacity.  However, field deliverability is limited by the number of withdrawal wells and the geological characteristics of the field.  The cost per unit of deliverability for depleted fields varies widely between projects.   The cost to construct new depleted fields averaged $3.22 per Mcf of working gas and $218.34 per Mcfd of deliverability.  The cost to expand depleted fields averaged $6.54 per Mcf of working gas and $147.69 per Mcfd of deliverability. The high average cost to expand depleted fields is due primarily to the high cost of incremental deliverability for the Columbia Gas Transmission expansion projects.</w:t>
      </w:r>
    </w:p>
    <w:p>
      <w:pPr>
        <w:pStyle w:val="eeaopen"/>
        <w:spacing w:lineRule="auto" w:line="240"/>
        <w:rPr/>
      </w:pPr>
      <w:r>
        <w:rPr/>
      </w:r>
    </w:p>
    <w:p>
      <w:pPr>
        <w:pStyle w:val="Heading3"/>
        <w:ind w:hanging="0" w:start="0"/>
        <w:rPr/>
      </w:pPr>
      <w:r>
        <w:rPr/>
        <w:t>Aquifers</w:t>
      </w:r>
    </w:p>
    <w:p>
      <w:pPr>
        <w:pStyle w:val="eeaopen"/>
        <w:spacing w:lineRule="auto" w:line="240"/>
        <w:rPr/>
      </w:pPr>
      <w:r>
        <w:rPr/>
        <w:t>Aquifer storage fields tend to be more expensive than depleted fields.  There are only two new aquifer projects and one expansion project with published costs of construction.  The average cost to build new aquifer storage averages $3.31 per Mcf of working gas capacity and $331.25 per Mcfd of deliverability.  The single aquifer expansion project has a cost of $9.44 per Mcf of working gas capacity and $100.67 per Mcf of deliverability.</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Heading3"/>
        <w:ind w:hanging="0" w:start="0"/>
        <w:rPr/>
      </w:pPr>
      <w:r>
        <w:rPr/>
        <w:t xml:space="preserve">Salt Caverns </w:t>
      </w:r>
    </w:p>
    <w:p>
      <w:pPr>
        <w:pStyle w:val="eeaopen"/>
        <w:spacing w:lineRule="auto" w:line="240"/>
        <w:rPr/>
      </w:pPr>
      <w:r>
        <w:rPr/>
        <w:t>Salt cavern facilities tend to cost more to construct per unit of total capacity than depleted fields but are cheaper per unit of deliverability.  Salt cavern expansions tend to be cheaper than building new capacity, since much of the existing above ground infrastructure (compressor station, dehydration equipment, etc.) can be shared with the expansion.  The cost to construct new salt cavern facilities averaged $10.15 per Mcf of working gas and $134.00 per Mcfd of deliverability.  The cost to expand salt cavern facilities averaged $7.11 per Mcf of working gas and $87.15 per Mcfd of deliverability.</w:t>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t>Exhibit 6-2</w:t>
      </w:r>
    </w:p>
    <w:p>
      <w:pPr>
        <w:pStyle w:val="eeaopen"/>
        <w:spacing w:lineRule="auto" w:line="240"/>
        <w:jc w:val="center"/>
        <w:rPr/>
      </w:pPr>
      <w:r>
        <w:rPr>
          <w:rFonts w:cs="Arial" w:ascii="Arial" w:hAnsi="Arial"/>
          <w:b/>
        </w:rPr>
        <w:t>Storage Projects</w:t>
      </w:r>
      <w:r>
        <w:rPr>
          <w:rFonts w:cs="Arial" w:ascii="Arial" w:hAnsi="Arial"/>
          <w:b/>
          <w:sz w:val="22"/>
        </w:rPr>
        <w:t xml:space="preserve"> by Region and Status As Of December 1998</w:t>
      </w:r>
    </w:p>
    <w:p>
      <w:pPr>
        <w:pStyle w:val="eeaopen"/>
        <w:spacing w:lineRule="auto" w:line="240"/>
        <w:jc w:val="center"/>
        <w:rPr>
          <w:rFonts w:ascii="Arial" w:hAnsi="Arial" w:cs="Arial"/>
          <w:b/>
          <w:sz w:val="22"/>
        </w:rPr>
      </w:pPr>
      <w:r>
        <w:rPr>
          <w:rFonts w:cs="Arial" w:ascii="Arial" w:hAnsi="Arial"/>
          <w:b/>
          <w:sz w:val="22"/>
        </w:rPr>
        <w:t>(Trillion Btu of Working Gas Capacity)</w:t>
      </w:r>
    </w:p>
    <w:p>
      <w:pPr>
        <w:pStyle w:val="eeaopen"/>
        <w:spacing w:lineRule="auto" w:line="240"/>
        <w:jc w:val="center"/>
        <w:rPr>
          <w:lang w:val="en-CA"/>
        </w:rPr>
      </w:pPr>
      <w:r>
        <w:rPr>
          <w:lang w:val="en-CA"/>
        </w:rPr>
        <w:drawing>
          <wp:inline distT="0" distB="0" distL="0" distR="0">
            <wp:extent cx="5482590" cy="5237480"/>
            <wp:effectExtent l="0" t="0" r="0" b="0"/>
            <wp:docPr id="1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 descr="" title=""/>
                    <pic:cNvPicPr>
                      <a:picLocks noChangeAspect="1" noChangeArrowheads="1"/>
                    </pic:cNvPicPr>
                  </pic:nvPicPr>
                  <pic:blipFill>
                    <a:blip r:embed="rId32"/>
                    <a:srcRect l="-6" t="-6" r="-6" b="-6"/>
                    <a:stretch>
                      <a:fillRect/>
                    </a:stretch>
                  </pic:blipFill>
                  <pic:spPr bwMode="auto">
                    <a:xfrm>
                      <a:off x="0" y="0"/>
                      <a:ext cx="5482590" cy="5237480"/>
                    </a:xfrm>
                    <a:prstGeom prst="rect">
                      <a:avLst/>
                    </a:prstGeom>
                    <a:noFill/>
                  </pic:spPr>
                </pic:pic>
              </a:graphicData>
            </a:graphic>
          </wp:inline>
        </w:drawing>
      </w:r>
    </w:p>
    <w:p>
      <w:pPr>
        <w:pStyle w:val="eeaopen"/>
        <w:spacing w:lineRule="auto" w:line="240"/>
        <w:jc w:val="center"/>
        <w:rPr>
          <w:lang w:val="en-CA"/>
        </w:rPr>
      </w:pPr>
      <w:r>
        <w:rPr>
          <w:lang w:val="en-CA"/>
        </w:rPr>
      </w:r>
    </w:p>
    <w:p>
      <w:pPr>
        <w:pStyle w:val="eeaopen"/>
        <w:spacing w:lineRule="auto" w:line="240"/>
        <w:jc w:val="center"/>
        <w:rPr>
          <w:lang w:val="en-CA"/>
        </w:rPr>
      </w:pPr>
      <w:r>
        <w:rPr>
          <w:lang w:val="en-CA"/>
        </w:rPr>
      </w:r>
    </w:p>
    <w:p>
      <w:pPr>
        <w:pStyle w:val="eeaopen"/>
        <w:spacing w:lineRule="auto" w:line="240"/>
        <w:jc w:val="center"/>
        <w:rPr>
          <w:lang w:val="en-CA"/>
        </w:rPr>
      </w:pPr>
      <w:r>
        <w:rPr>
          <w:lang w:val="en-CA"/>
        </w:rPr>
        <w:drawing>
          <wp:inline distT="0" distB="0" distL="0" distR="0">
            <wp:extent cx="5395595" cy="3689350"/>
            <wp:effectExtent l="0" t="0" r="0" b="0"/>
            <wp:docPr id="1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 descr="" title=""/>
                    <pic:cNvPicPr>
                      <a:picLocks noChangeAspect="1" noChangeArrowheads="1"/>
                    </pic:cNvPicPr>
                  </pic:nvPicPr>
                  <pic:blipFill>
                    <a:blip r:embed="rId33"/>
                    <a:srcRect l="-4" t="-6" r="-4" b="-6"/>
                    <a:stretch>
                      <a:fillRect/>
                    </a:stretch>
                  </pic:blipFill>
                  <pic:spPr bwMode="auto">
                    <a:xfrm>
                      <a:off x="0" y="0"/>
                      <a:ext cx="5395595" cy="3689350"/>
                    </a:xfrm>
                    <a:prstGeom prst="rect">
                      <a:avLst/>
                    </a:prstGeom>
                    <a:noFill/>
                  </pic:spPr>
                </pic:pic>
              </a:graphicData>
            </a:graphic>
          </wp:inline>
        </w:drawing>
      </w:r>
    </w:p>
    <w:p>
      <w:pPr>
        <w:pStyle w:val="eeaopen"/>
        <w:spacing w:lineRule="auto" w:line="240"/>
        <w:jc w:val="center"/>
        <w:rPr>
          <w:lang w:val="en-CA"/>
        </w:rPr>
      </w:pPr>
      <w:r>
        <w:rPr>
          <w:lang w:val="en-CA"/>
        </w:rPr>
      </w:r>
    </w:p>
    <w:p>
      <w:pPr>
        <w:pStyle w:val="eeaopen"/>
        <w:spacing w:lineRule="auto" w:line="240"/>
        <w:jc w:val="center"/>
        <w:rPr>
          <w:lang w:val="en-CA"/>
        </w:rPr>
      </w:pPr>
      <w:r>
        <w:rPr>
          <w:lang w:val="en-CA"/>
        </w:rPr>
      </w:r>
    </w:p>
    <w:p>
      <w:pPr>
        <w:pStyle w:val="eeaopen"/>
        <w:spacing w:lineRule="auto" w:line="240"/>
        <w:jc w:val="center"/>
        <w:rPr>
          <w:rFonts w:ascii="Arial" w:hAnsi="Arial" w:cs="Arial"/>
          <w:b/>
          <w:sz w:val="22"/>
          <w:lang w:val="en-CA"/>
        </w:rPr>
      </w:pPr>
      <w:r>
        <w:rPr>
          <w:rFonts w:cs="Arial" w:ascii="Arial" w:hAnsi="Arial"/>
          <w:b/>
          <w:sz w:val="22"/>
          <w:lang w:val="en-CA"/>
        </w:rPr>
      </w:r>
    </w:p>
    <w:p>
      <w:pPr>
        <w:pStyle w:val="eeaopen"/>
        <w:spacing w:lineRule="auto" w:line="240"/>
        <w:jc w:val="center"/>
        <w:rPr>
          <w:lang w:val="en-CA"/>
        </w:rPr>
      </w:pPr>
      <w:r>
        <w:rPr>
          <w:lang w:val="en-CA"/>
        </w:rPr>
        <w:drawing>
          <wp:inline distT="0" distB="0" distL="0" distR="0">
            <wp:extent cx="5395595" cy="3689350"/>
            <wp:effectExtent l="0" t="0" r="0" b="0"/>
            <wp:docPr id="20"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 descr="" title=""/>
                    <pic:cNvPicPr>
                      <a:picLocks noChangeAspect="1" noChangeArrowheads="1"/>
                    </pic:cNvPicPr>
                  </pic:nvPicPr>
                  <pic:blipFill>
                    <a:blip r:embed="rId34"/>
                    <a:srcRect l="-4" t="-6" r="-4" b="-6"/>
                    <a:stretch>
                      <a:fillRect/>
                    </a:stretch>
                  </pic:blipFill>
                  <pic:spPr bwMode="auto">
                    <a:xfrm>
                      <a:off x="0" y="0"/>
                      <a:ext cx="5395595" cy="3689350"/>
                    </a:xfrm>
                    <a:prstGeom prst="rect">
                      <a:avLst/>
                    </a:prstGeom>
                    <a:noFill/>
                  </pic:spPr>
                </pic:pic>
              </a:graphicData>
            </a:graphic>
          </wp:inline>
        </w:drawing>
      </w:r>
    </w:p>
    <w:p>
      <w:pPr>
        <w:pStyle w:val="eeaopen"/>
        <w:spacing w:lineRule="auto" w:line="240"/>
        <w:rPr/>
      </w:pPr>
      <w:r>
        <w:rPr/>
      </w:r>
    </w:p>
    <w:p>
      <w:pPr>
        <w:pStyle w:val="eeaopen"/>
        <w:spacing w:lineRule="auto" w:line="240"/>
        <w:rPr/>
      </w:pPr>
      <w:r>
        <w:rPr/>
      </w:r>
    </w:p>
    <w:p>
      <w:pPr>
        <w:pStyle w:val="eeaopen"/>
        <w:spacing w:lineRule="auto" w:line="240"/>
        <w:jc w:val="center"/>
        <w:rPr>
          <w:rFonts w:ascii="Arial" w:hAnsi="Arial" w:cs="Arial"/>
          <w:b/>
        </w:rPr>
      </w:pPr>
      <w:r>
        <w:rPr>
          <w:rFonts w:cs="Arial" w:ascii="Arial" w:hAnsi="Arial"/>
          <w:b/>
        </w:rPr>
      </w:r>
    </w:p>
    <w:p>
      <w:pPr>
        <w:pStyle w:val="eeaopen"/>
        <w:spacing w:lineRule="auto" w:line="240"/>
        <w:jc w:val="center"/>
        <w:rPr>
          <w:rFonts w:ascii="Arial" w:hAnsi="Arial" w:cs="Arial"/>
          <w:b/>
        </w:rPr>
      </w:pPr>
      <w:r>
        <w:rPr>
          <w:rFonts w:cs="Arial" w:ascii="Arial" w:hAnsi="Arial"/>
          <w:b/>
        </w:rPr>
        <w:t>Exhibit 6-5</w:t>
      </w:r>
    </w:p>
    <w:p>
      <w:pPr>
        <w:pStyle w:val="eeaopen"/>
        <w:spacing w:lineRule="auto" w:line="240"/>
        <w:jc w:val="center"/>
        <w:rPr>
          <w:rFonts w:ascii="Arial" w:hAnsi="Arial" w:cs="Arial"/>
          <w:b/>
        </w:rPr>
      </w:pPr>
      <w:r>
        <w:rPr>
          <w:rFonts w:cs="Arial" w:ascii="Arial" w:hAnsi="Arial"/>
          <w:b/>
        </w:rPr>
        <w:t>Average Cost of Proposed Storage Projects by Region and Type</w:t>
      </w:r>
    </w:p>
    <w:p>
      <w:pPr>
        <w:pStyle w:val="eeaopen"/>
        <w:spacing w:lineRule="auto" w:line="240"/>
        <w:rPr>
          <w:b/>
        </w:rPr>
      </w:pPr>
      <w:r>
        <w:rPr>
          <w:lang w:val="en-CA"/>
        </w:rPr>
        <w:drawing>
          <wp:inline distT="0" distB="0" distL="0" distR="0">
            <wp:extent cx="8963025" cy="2551430"/>
            <wp:effectExtent l="0" t="0" r="0" b="0"/>
            <wp:docPr id="2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descr="" title=""/>
                    <pic:cNvPicPr>
                      <a:picLocks noChangeAspect="1" noChangeArrowheads="1"/>
                    </pic:cNvPicPr>
                  </pic:nvPicPr>
                  <pic:blipFill>
                    <a:blip r:embed="rId35"/>
                    <a:srcRect l="-3" t="-12" r="-3" b="-12"/>
                    <a:stretch>
                      <a:fillRect/>
                    </a:stretch>
                  </pic:blipFill>
                  <pic:spPr bwMode="auto">
                    <a:xfrm>
                      <a:off x="0" y="0"/>
                      <a:ext cx="8963025" cy="2551430"/>
                    </a:xfrm>
                    <a:prstGeom prst="rect">
                      <a:avLst/>
                    </a:prstGeom>
                    <a:noFill/>
                  </pic:spPr>
                </pic:pic>
              </a:graphicData>
            </a:graphic>
          </wp:inline>
        </w:drawing>
      </w:r>
    </w:p>
    <w:p>
      <w:pPr>
        <w:pStyle w:val="eeaopen"/>
        <w:spacing w:lineRule="auto" w:line="240"/>
        <w:rPr>
          <w:b/>
        </w:rPr>
      </w:pPr>
      <w:r>
        <w:rPr>
          <w:b/>
        </w:rPr>
      </w:r>
    </w:p>
    <w:p>
      <w:pPr>
        <w:pStyle w:val="eeaopen"/>
        <w:spacing w:lineRule="auto" w:line="240"/>
        <w:rPr>
          <w:sz w:val="16"/>
        </w:rPr>
      </w:pPr>
      <w:r>
        <w:rPr>
          <w:sz w:val="16"/>
        </w:rPr>
        <w:t>Source: U.S. Energy Information Administration Gas Information System (EIAGIS)</w:t>
      </w:r>
    </w:p>
    <w:p>
      <w:pPr>
        <w:pStyle w:val="eeaopen"/>
        <w:spacing w:lineRule="auto" w:line="240"/>
        <w:rPr>
          <w:sz w:val="16"/>
        </w:rPr>
      </w:pPr>
      <w:r>
        <w:rPr>
          <w:sz w:val="16"/>
        </w:rPr>
      </w:r>
    </w:p>
    <w:p>
      <w:pPr>
        <w:pStyle w:val="eeaopen"/>
        <w:spacing w:lineRule="auto" w:line="240" w:before="0" w:after="120"/>
        <w:rPr>
          <w:rFonts w:ascii="Arial" w:hAnsi="Arial" w:cs="Arial"/>
          <w:b/>
          <w:u w:val="single"/>
        </w:rPr>
      </w:pPr>
      <w:r>
        <w:rPr>
          <w:rFonts w:cs="Arial" w:ascii="Arial" w:hAnsi="Arial"/>
          <w:b/>
          <w:u w:val="single"/>
        </w:rPr>
      </w:r>
    </w:p>
    <w:p>
      <w:pPr>
        <w:pStyle w:val="eeaopen"/>
        <w:spacing w:lineRule="auto" w:line="240" w:before="0" w:after="120"/>
        <w:rPr>
          <w:rFonts w:ascii="Arial" w:hAnsi="Arial" w:cs="Arial"/>
          <w:b/>
          <w:u w:val="single"/>
        </w:rPr>
      </w:pPr>
      <w:r>
        <w:rPr>
          <w:rFonts w:cs="Arial" w:ascii="Arial" w:hAnsi="Arial"/>
          <w:b/>
          <w:u w:val="single"/>
        </w:rPr>
      </w:r>
    </w:p>
    <w:p>
      <w:pPr>
        <w:pStyle w:val="eeaopen"/>
        <w:spacing w:lineRule="auto" w:line="240" w:before="0" w:after="120"/>
        <w:rPr>
          <w:rFonts w:ascii="Arial" w:hAnsi="Arial" w:cs="Arial"/>
          <w:b/>
          <w:u w:val="single"/>
        </w:rPr>
      </w:pPr>
      <w:r>
        <w:rPr>
          <w:rFonts w:cs="Arial" w:ascii="Arial" w:hAnsi="Arial"/>
          <w:b/>
          <w:u w:val="single"/>
        </w:rPr>
      </w:r>
    </w:p>
    <w:p>
      <w:pPr>
        <w:pStyle w:val="Heading3"/>
        <w:ind w:hanging="0" w:start="0"/>
        <w:rPr/>
      </w:pPr>
      <w:r>
        <w:rPr/>
        <w:t>LNG</w:t>
      </w:r>
    </w:p>
    <w:p>
      <w:pPr>
        <w:pStyle w:val="eeaopen"/>
        <w:spacing w:lineRule="auto" w:line="240"/>
        <w:rPr/>
      </w:pPr>
      <w:r>
        <w:rPr/>
        <w:t xml:space="preserve">LNG projects are the most expensive to build on a unit basis.  The EIA list of proposed storage projects includes four LNG projects with sufficient cost data to evaluate.  The costs of these facilities average $31.38 per Mcf of working gas and $289.42 per Mcfd of deliverability.  The recent LNG expansion project at the Distrigas LNG import terminal at Everett, Massachusetts expanded the vaporization capacity by 435 MMcfd at an average cost of $59.54 per MMcfd. </w:t>
      </w:r>
    </w:p>
    <w:p>
      <w:pPr>
        <w:pStyle w:val="eeaopen"/>
        <w:spacing w:lineRule="auto" w:line="240"/>
        <w:rPr/>
      </w:pPr>
      <w:r>
        <w:rPr/>
      </w:r>
    </w:p>
    <w:p>
      <w:pPr>
        <w:pStyle w:val="eeaopen"/>
        <w:spacing w:lineRule="auto" w:line="240"/>
        <w:rPr/>
      </w:pPr>
      <w:r>
        <w:rPr/>
      </w:r>
    </w:p>
    <w:p>
      <w:pPr>
        <w:pStyle w:val="Heading2"/>
        <w:ind w:hanging="0" w:start="0"/>
        <w:rPr/>
      </w:pPr>
      <w:r>
        <w:rPr/>
        <w:t>6.3</w:t>
        <w:tab/>
        <w:t>Costs of Future Unplanned Storage Capacity Expansion</w:t>
      </w:r>
    </w:p>
    <w:p>
      <w:pPr>
        <w:pStyle w:val="eeaopen"/>
        <w:spacing w:lineRule="auto" w:line="240" w:before="0" w:after="120"/>
        <w:rPr/>
      </w:pPr>
      <w:r>
        <w:rPr/>
        <w:t>There is a significant amount of expansion potential in existing storage fields in addition to the storage field expansion projects that are currently under development.   The AGA storage field database includes estimates of expansion potential in existing fields based on field data provided by the operator.  The 1996 AGA storage database identifies expansion potential of 2.3 Tcf of total storage capacity, with an estimated 1.2 Tcf of incremental working gas.  Roughly half of this potential is located in existing aquifers, with the other half located in existing depleted field reservoirs.</w:t>
      </w:r>
    </w:p>
    <w:p>
      <w:pPr>
        <w:pStyle w:val="eeaopen"/>
        <w:spacing w:lineRule="auto" w:line="240" w:before="0" w:after="120"/>
        <w:rPr/>
      </w:pPr>
      <w:r>
        <w:rPr/>
        <w:t xml:space="preserve">While the costs of achieving this expansion potential is unknown, estimates of the cost have been  developed using generic storage field cost expansion criteria developed from engineering data available from proposed expansion projects.  The generic storage field expansion cost factors are shown in Exhibit 6-6. </w:t>
      </w:r>
    </w:p>
    <w:p>
      <w:pPr>
        <w:pStyle w:val="eeaopen"/>
        <w:spacing w:lineRule="auto" w:line="240"/>
        <w:rPr/>
      </w:pPr>
      <w:r>
        <w:rPr/>
        <w:t xml:space="preserve">These generic cost estimates have been used to create the storage expansion cost curve shown in Exhibit 6-7.  This exhibit illustrates the potential capacity and deliverability expansions sorted by cost to provide a national storage capacity expansion cost curve.  The cost curve was developed based on the assumption that the characteristics of the undeveloped storage capacity would be the same as the developed capacity in the same field, e.g., </w:t>
      </w:r>
    </w:p>
    <w:p>
      <w:pPr>
        <w:pStyle w:val="ListBullet"/>
        <w:numPr>
          <w:ilvl w:val="0"/>
          <w:numId w:val="6"/>
        </w:numPr>
        <w:ind w:hanging="0" w:start="0"/>
        <w:rPr/>
      </w:pPr>
      <w:r>
        <w:rPr/>
        <w:t>Compression Horsepower per Bcf of storage capacity needed to develop the undeveloped portion of the field would be the same as the horsepower of compression per Bcf of existing storage capacity.</w:t>
      </w:r>
    </w:p>
    <w:p>
      <w:pPr>
        <w:pStyle w:val="ListBullet"/>
        <w:numPr>
          <w:ilvl w:val="0"/>
          <w:numId w:val="6"/>
        </w:numPr>
        <w:ind w:hanging="0" w:start="0"/>
        <w:rPr/>
      </w:pPr>
      <w:r>
        <w:rPr/>
        <w:t>The number of wells per Bcf needed to develop the undeveloped portion of the field would be the same as the number of wells per Bcf in the developed portion of the field.</w:t>
      </w:r>
    </w:p>
    <w:p>
      <w:pPr>
        <w:pStyle w:val="eeaopen"/>
        <w:spacing w:lineRule="auto" w:line="240"/>
        <w:rPr/>
      </w:pPr>
      <w:r>
        <w:rPr/>
      </w:r>
    </w:p>
    <w:p>
      <w:pPr>
        <w:pStyle w:val="eeaopen"/>
        <w:spacing w:lineRule="auto" w:line="240"/>
        <w:rPr/>
      </w:pPr>
      <w:r>
        <w:rPr/>
        <w:t xml:space="preserve">Actual field expansion costs will vary widely from field to field based on the characteristics of each field.  For example, the cost of base gas will depend on field location, the amount of compression needed will depend on existing compression capacity, pipeline pressure, and number of injection/withdrawal wells. </w:t>
      </w:r>
    </w:p>
    <w:p>
      <w:pPr>
        <w:pStyle w:val="eeaopen"/>
        <w:spacing w:lineRule="auto" w:line="240"/>
        <w:rPr/>
      </w:pPr>
      <w:r>
        <w:rPr/>
      </w:r>
    </w:p>
    <w:p>
      <w:pPr>
        <w:pStyle w:val="eeaopen"/>
        <w:spacing w:lineRule="auto" w:line="240"/>
        <w:rPr/>
      </w:pPr>
      <w:r>
        <w:rPr/>
        <w:t>The cost curve shown in Exhibit 6-7 includes all of the undeveloped storage capacity identified in the AGA database.  However, the storage field expansion potential included in the AGA storage database is almost certainly higher than the level of expansion in existing fields that will be achieved over time.  Roughly half of the potential is located in aquifer fields.  Due to cost concerns, and the limited flexibility of these fields, much of this potential capacity is likely to remain undeveloped.  In addition, a significant proportion of the expansion potential for depleted field storage facilities probably will never be developed due to a variety of problems, including costs, land use and permitting issues, poor field location, poor field geology, and other issues.</w:t>
      </w:r>
    </w:p>
    <w:p>
      <w:pPr>
        <w:pStyle w:val="eeaopen"/>
        <w:spacing w:lineRule="auto" w:line="240"/>
        <w:rPr/>
      </w:pPr>
      <w:r>
        <w:rPr/>
      </w:r>
    </w:p>
    <w:p>
      <w:pPr>
        <w:pStyle w:val="eeaopen"/>
        <w:spacing w:lineRule="auto" w:line="240"/>
        <w:rPr/>
      </w:pPr>
      <w:r>
        <w:rPr/>
      </w:r>
    </w:p>
    <w:tbl>
      <w:tblPr>
        <w:tblW w:w="7977" w:type="dxa"/>
        <w:jc w:val="center"/>
        <w:tblInd w:w="0" w:type="dxa"/>
        <w:tblLayout w:type="fixed"/>
        <w:tblCellMar>
          <w:top w:w="0" w:type="dxa"/>
          <w:start w:w="30" w:type="dxa"/>
          <w:bottom w:w="0" w:type="dxa"/>
          <w:end w:w="30" w:type="dxa"/>
        </w:tblCellMar>
      </w:tblPr>
      <w:tblGrid>
        <w:gridCol w:w="5125"/>
        <w:gridCol w:w="2729"/>
        <w:gridCol w:w="40"/>
        <w:gridCol w:w="43"/>
        <w:gridCol w:w="40"/>
      </w:tblGrid>
      <w:tr>
        <w:trPr>
          <w:trHeight w:val="370" w:hRule="atLeast"/>
        </w:trPr>
        <w:tc>
          <w:tcPr>
            <w:tcW w:w="7894" w:type="dxa"/>
            <w:gridSpan w:val="3"/>
            <w:tcBorders/>
          </w:tcPr>
          <w:p>
            <w:pPr>
              <w:pStyle w:val="Heading7"/>
              <w:ind w:hanging="0" w:start="0"/>
              <w:jc w:val="center"/>
              <w:rPr/>
            </w:pPr>
            <w:r>
              <w:rPr/>
              <w:t>Exhibit 6-6</w:t>
            </w:r>
          </w:p>
          <w:p>
            <w:pPr>
              <w:pStyle w:val="Heading7"/>
              <w:ind w:hanging="0" w:start="0"/>
              <w:jc w:val="center"/>
              <w:rPr/>
            </w:pPr>
            <w:r>
              <w:rPr/>
              <w:t>Estimated Cost Factors For Storage Field Expansion Projects</w:t>
            </w:r>
          </w:p>
          <w:p>
            <w:pPr>
              <w:pStyle w:val="Normal"/>
              <w:rPr/>
            </w:pPr>
            <w:r>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785" w:hRule="atLeast"/>
        </w:trPr>
        <w:tc>
          <w:tcPr>
            <w:tcW w:w="5125"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812" w:type="dxa"/>
            <w:gridSpan w:val="3"/>
            <w:tcBorders/>
          </w:tcPr>
          <w:p>
            <w:pPr>
              <w:pStyle w:val="Heading7"/>
              <w:ind w:hanging="0" w:start="0"/>
              <w:rPr>
                <w:rFonts w:ascii="Times New Roman" w:hAnsi="Times New Roman" w:cs="Times New Roman"/>
              </w:rPr>
            </w:pPr>
            <w:r>
              <w:rPr>
                <w:rFonts w:cs="Times New Roman" w:ascii="Times New Roman" w:hAnsi="Times New Roman"/>
              </w:rPr>
              <w:t xml:space="preserve">Storage </w:t>
            </w:r>
          </w:p>
          <w:p>
            <w:pPr>
              <w:pStyle w:val="Heading7"/>
              <w:ind w:hanging="0" w:start="0"/>
              <w:rPr>
                <w:rFonts w:ascii="Times New Roman" w:hAnsi="Times New Roman" w:cs="Times New Roman"/>
              </w:rPr>
            </w:pPr>
            <w:r>
              <w:rPr>
                <w:rFonts w:cs="Times New Roman" w:ascii="Times New Roman" w:hAnsi="Times New Roman"/>
              </w:rPr>
              <w:t>Cost Factor</w:t>
            </w:r>
          </w:p>
        </w:tc>
        <w:tc>
          <w:tcPr>
            <w:tcW w:w="0" w:type="dxa"/>
            <w:vMerge w:val="continue"/>
            <w:tcBorders/>
          </w:tcPr>
          <w:p>
            <w:pPr>
              <w:pStyle w:val="Normal"/>
              <w:snapToGrid w:val="false"/>
              <w:rPr>
                <w:rFonts w:ascii="Times New Roman" w:hAnsi="Times New Roman" w:cs="Times New Roman"/>
                <w:b/>
                <w:color w:val="000000"/>
                <w:lang w:eastAsia="en-US"/>
              </w:rPr>
            </w:pPr>
            <w:r>
              <w:rPr>
                <w:rFonts w:cs="Times New Roman"/>
                <w:b/>
                <w:color w:val="000000"/>
                <w:lang w:eastAsia="en-US"/>
              </w:rPr>
            </w:r>
          </w:p>
        </w:tc>
        <w:tc>
          <w:tcPr>
            <w:tcW w:w="40" w:type="dxa"/>
            <w:tcBorders/>
            <w:tcMar>
              <w:start w:w="0" w:type="dxa"/>
              <w:end w:w="0" w:type="dxa"/>
            </w:tcMar>
          </w:tcPr>
          <w:p>
            <w:pPr>
              <w:pStyle w:val="Normal"/>
              <w:snapToGrid w:val="false"/>
              <w:rPr>
                <w:b/>
                <w:color w:val="000000"/>
                <w:lang w:eastAsia="en-US"/>
              </w:rPr>
            </w:pPr>
            <w:r>
              <w:rPr>
                <w:b/>
                <w:color w:val="000000"/>
                <w:lang w:eastAsia="en-US"/>
              </w:rPr>
            </w:r>
          </w:p>
        </w:tc>
      </w:tr>
      <w:tr>
        <w:trPr>
          <w:trHeight w:val="262" w:hRule="atLeast"/>
        </w:trPr>
        <w:tc>
          <w:tcPr>
            <w:tcW w:w="5125" w:type="dxa"/>
            <w:tcBorders/>
          </w:tcPr>
          <w:p>
            <w:pPr>
              <w:pStyle w:val="Normal"/>
              <w:rPr>
                <w:b/>
                <w:color w:val="000000"/>
                <w:lang w:eastAsia="en-US"/>
              </w:rPr>
            </w:pPr>
            <w:r>
              <w:rPr>
                <w:b/>
                <w:color w:val="000000"/>
                <w:lang w:eastAsia="en-US"/>
              </w:rPr>
              <w:t>1) Compression Cost Factors</w:t>
            </w:r>
          </w:p>
        </w:tc>
        <w:tc>
          <w:tcPr>
            <w:tcW w:w="2729" w:type="dxa"/>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Compression ($/ Horsepower)</w:t>
            </w:r>
          </w:p>
        </w:tc>
        <w:tc>
          <w:tcPr>
            <w:tcW w:w="2729" w:type="dxa"/>
            <w:tcBorders/>
          </w:tcPr>
          <w:p>
            <w:pPr>
              <w:pStyle w:val="Normal"/>
              <w:rPr>
                <w:color w:val="000000"/>
                <w:lang w:eastAsia="en-US"/>
              </w:rPr>
            </w:pPr>
            <w:r>
              <w:rPr>
                <w:color w:val="000000"/>
                <w:lang w:eastAsia="en-US"/>
              </w:rPr>
              <w:t>$1,600</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b/>
                <w:color w:val="000000"/>
                <w:lang w:eastAsia="en-US"/>
              </w:rPr>
            </w:pPr>
            <w:r>
              <w:rPr>
                <w:b/>
                <w:color w:val="000000"/>
                <w:lang w:eastAsia="en-US"/>
              </w:rPr>
              <w:t>2) Storage Field Pipeline Cost Factors</w:t>
            </w:r>
          </w:p>
        </w:tc>
        <w:tc>
          <w:tcPr>
            <w:tcW w:w="2729" w:type="dxa"/>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Storage Field Pipe Cost ($/Mile)</w:t>
            </w:r>
          </w:p>
        </w:tc>
        <w:tc>
          <w:tcPr>
            <w:tcW w:w="2729" w:type="dxa"/>
            <w:tcBorders/>
          </w:tcPr>
          <w:p>
            <w:pPr>
              <w:pStyle w:val="Normal"/>
              <w:rPr>
                <w:color w:val="000000"/>
                <w:lang w:eastAsia="en-US"/>
              </w:rPr>
            </w:pPr>
            <w:r>
              <w:rPr>
                <w:color w:val="000000"/>
                <w:lang w:eastAsia="en-US"/>
              </w:rPr>
              <w:t>$230,000</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Miles of Storage Field Pipe Per New Well</w:t>
            </w:r>
          </w:p>
        </w:tc>
        <w:tc>
          <w:tcPr>
            <w:tcW w:w="2729" w:type="dxa"/>
            <w:tcBorders/>
          </w:tcPr>
          <w:p>
            <w:pPr>
              <w:pStyle w:val="Normal"/>
              <w:rPr>
                <w:color w:val="000000"/>
                <w:lang w:eastAsia="en-US"/>
              </w:rPr>
            </w:pPr>
            <w:r>
              <w:rPr>
                <w:color w:val="000000"/>
                <w:lang w:eastAsia="en-US"/>
              </w:rPr>
              <w:t>0.2</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Transmission Pipe Cost ($/Mile)</w:t>
            </w:r>
          </w:p>
        </w:tc>
        <w:tc>
          <w:tcPr>
            <w:tcW w:w="2729" w:type="dxa"/>
            <w:tcBorders/>
          </w:tcPr>
          <w:p>
            <w:pPr>
              <w:pStyle w:val="Normal"/>
              <w:rPr>
                <w:color w:val="000000"/>
                <w:lang w:eastAsia="en-US"/>
              </w:rPr>
            </w:pPr>
            <w:r>
              <w:rPr>
                <w:color w:val="000000"/>
                <w:lang w:eastAsia="en-US"/>
              </w:rPr>
              <w:t>$850,000</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Miles of Transmission Pipe Per Bcf</w:t>
            </w:r>
          </w:p>
        </w:tc>
        <w:tc>
          <w:tcPr>
            <w:tcW w:w="2729" w:type="dxa"/>
            <w:tcBorders/>
          </w:tcPr>
          <w:p>
            <w:pPr>
              <w:pStyle w:val="Normal"/>
              <w:rPr>
                <w:color w:val="000000"/>
                <w:lang w:eastAsia="en-US"/>
              </w:rPr>
            </w:pPr>
            <w:r>
              <w:rPr>
                <w:color w:val="000000"/>
                <w:lang w:eastAsia="en-US"/>
              </w:rPr>
              <w:t>0.8</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b/>
                <w:color w:val="000000"/>
                <w:lang w:eastAsia="en-US"/>
              </w:rPr>
            </w:pPr>
            <w:r>
              <w:rPr>
                <w:b/>
                <w:color w:val="000000"/>
                <w:lang w:eastAsia="en-US"/>
              </w:rPr>
              <w:t>3) Storage Field New Well Cost Factors</w:t>
            </w:r>
          </w:p>
        </w:tc>
        <w:tc>
          <w:tcPr>
            <w:tcW w:w="2729" w:type="dxa"/>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New Well Drilling Cost ($ per Foot)</w:t>
            </w:r>
          </w:p>
        </w:tc>
        <w:tc>
          <w:tcPr>
            <w:tcW w:w="2729" w:type="dxa"/>
            <w:tcBorders/>
          </w:tcPr>
          <w:p>
            <w:pPr>
              <w:pStyle w:val="Normal"/>
              <w:rPr>
                <w:color w:val="000000"/>
                <w:lang w:eastAsia="en-US"/>
              </w:rPr>
            </w:pPr>
            <w:r>
              <w:rPr>
                <w:color w:val="000000"/>
                <w:lang w:eastAsia="en-US"/>
              </w:rPr>
              <w:t xml:space="preserve">$50 </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New Well Testing and Evaluation ($/Well)</w:t>
            </w:r>
          </w:p>
        </w:tc>
        <w:tc>
          <w:tcPr>
            <w:tcW w:w="2729" w:type="dxa"/>
            <w:tcBorders/>
          </w:tcPr>
          <w:p>
            <w:pPr>
              <w:pStyle w:val="Normal"/>
              <w:rPr>
                <w:color w:val="000000"/>
                <w:lang w:eastAsia="en-US"/>
              </w:rPr>
            </w:pPr>
            <w:r>
              <w:rPr>
                <w:color w:val="000000"/>
                <w:lang w:eastAsia="en-US"/>
              </w:rPr>
              <w:t xml:space="preserve">$60,000 </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7854" w:type="dxa"/>
            <w:gridSpan w:val="2"/>
            <w:tcBorders/>
          </w:tcPr>
          <w:p>
            <w:pPr>
              <w:pStyle w:val="Normal"/>
              <w:rPr>
                <w:b/>
                <w:color w:val="000000"/>
                <w:lang w:eastAsia="en-US"/>
              </w:rPr>
            </w:pPr>
            <w:r>
              <w:rPr>
                <w:b/>
                <w:color w:val="000000"/>
                <w:lang w:eastAsia="en-US"/>
              </w:rPr>
              <w:t>4) Existing Well Enhancement and Workover Cost Factors</w:t>
            </w:r>
          </w:p>
        </w:tc>
        <w:tc>
          <w:tcPr>
            <w:tcW w:w="0" w:type="dxa"/>
            <w:vMerge w:val="continue"/>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Percent Of Total New Well Costs</w:t>
            </w:r>
          </w:p>
        </w:tc>
        <w:tc>
          <w:tcPr>
            <w:tcW w:w="2729" w:type="dxa"/>
            <w:tcBorders/>
          </w:tcPr>
          <w:p>
            <w:pPr>
              <w:pStyle w:val="Normal"/>
              <w:rPr>
                <w:color w:val="000000"/>
                <w:lang w:eastAsia="en-US"/>
              </w:rPr>
            </w:pPr>
            <w:r>
              <w:rPr>
                <w:color w:val="000000"/>
                <w:lang w:eastAsia="en-US"/>
              </w:rPr>
              <w:t>67%</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7854" w:type="dxa"/>
            <w:gridSpan w:val="2"/>
            <w:tcBorders/>
          </w:tcPr>
          <w:p>
            <w:pPr>
              <w:pStyle w:val="Normal"/>
              <w:rPr>
                <w:b/>
                <w:color w:val="000000"/>
                <w:lang w:eastAsia="en-US"/>
              </w:rPr>
            </w:pPr>
            <w:r>
              <w:rPr>
                <w:b/>
                <w:color w:val="000000"/>
                <w:lang w:eastAsia="en-US"/>
              </w:rPr>
              <w:t>5) Overhead, Engineering, AFUDC, and Contingency Costs</w:t>
            </w:r>
          </w:p>
        </w:tc>
        <w:tc>
          <w:tcPr>
            <w:tcW w:w="0" w:type="dxa"/>
            <w:vMerge w:val="continue"/>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Percent of Total Facility Costs</w:t>
            </w:r>
          </w:p>
        </w:tc>
        <w:tc>
          <w:tcPr>
            <w:tcW w:w="2729" w:type="dxa"/>
            <w:tcBorders/>
          </w:tcPr>
          <w:p>
            <w:pPr>
              <w:pStyle w:val="Normal"/>
              <w:rPr>
                <w:color w:val="000000"/>
                <w:lang w:eastAsia="en-US"/>
              </w:rPr>
            </w:pPr>
            <w:r>
              <w:rPr>
                <w:color w:val="000000"/>
                <w:lang w:eastAsia="en-US"/>
              </w:rPr>
              <w:t>26%</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snapToGrid w:val="false"/>
              <w:rPr>
                <w:color w:val="000000"/>
                <w:lang w:eastAsia="en-US"/>
              </w:rPr>
            </w:pPr>
            <w:r>
              <w:rPr>
                <w:color w:val="000000"/>
                <w:lang w:eastAsia="en-US"/>
              </w:rPr>
            </w:r>
          </w:p>
        </w:tc>
        <w:tc>
          <w:tcPr>
            <w:tcW w:w="2729" w:type="dxa"/>
            <w:tcBorders/>
          </w:tcPr>
          <w:p>
            <w:pPr>
              <w:pStyle w:val="Normal"/>
              <w:snapToGrid w:val="false"/>
              <w:rPr>
                <w:color w:val="000000"/>
                <w:lang w:eastAsia="en-US"/>
              </w:rPr>
            </w:pPr>
            <w:r>
              <w:rPr>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b/>
                <w:color w:val="000000"/>
                <w:lang w:eastAsia="en-US"/>
              </w:rPr>
            </w:pPr>
            <w:r>
              <w:rPr>
                <w:b/>
                <w:color w:val="000000"/>
                <w:lang w:eastAsia="en-US"/>
              </w:rPr>
              <w:t>6) Base (Cushion) Gas</w:t>
            </w:r>
          </w:p>
        </w:tc>
        <w:tc>
          <w:tcPr>
            <w:tcW w:w="2729" w:type="dxa"/>
            <w:tcBorders/>
          </w:tcPr>
          <w:p>
            <w:pPr>
              <w:pStyle w:val="Normal"/>
              <w:snapToGrid w:val="false"/>
              <w:rPr>
                <w:b/>
                <w:color w:val="000000"/>
                <w:lang w:eastAsia="en-US"/>
              </w:rPr>
            </w:pPr>
            <w:r>
              <w:rPr>
                <w:b/>
                <w:color w:val="000000"/>
                <w:lang w:eastAsia="en-US"/>
              </w:rPr>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Cost of Injected Base Gas ($/MMBtu)</w:t>
            </w:r>
          </w:p>
        </w:tc>
        <w:tc>
          <w:tcPr>
            <w:tcW w:w="2729" w:type="dxa"/>
            <w:tcBorders/>
          </w:tcPr>
          <w:p>
            <w:pPr>
              <w:pStyle w:val="Normal"/>
              <w:rPr>
                <w:color w:val="000000"/>
                <w:lang w:eastAsia="en-US"/>
              </w:rPr>
            </w:pPr>
            <w:r>
              <w:rPr>
                <w:color w:val="000000"/>
                <w:lang w:eastAsia="en-US"/>
              </w:rPr>
              <w:t>$2.50</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Cost Of Base Gas Already in Place</w:t>
            </w:r>
          </w:p>
        </w:tc>
        <w:tc>
          <w:tcPr>
            <w:tcW w:w="2729" w:type="dxa"/>
            <w:tcBorders/>
          </w:tcPr>
          <w:p>
            <w:pPr>
              <w:pStyle w:val="Normal"/>
              <w:rPr>
                <w:color w:val="000000"/>
                <w:lang w:eastAsia="en-US"/>
              </w:rPr>
            </w:pPr>
            <w:r>
              <w:rPr>
                <w:color w:val="000000"/>
                <w:lang w:eastAsia="en-US"/>
              </w:rPr>
              <w:t xml:space="preserve">$1.25 </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r>
        <w:trPr>
          <w:trHeight w:val="262" w:hRule="atLeast"/>
        </w:trPr>
        <w:tc>
          <w:tcPr>
            <w:tcW w:w="5125" w:type="dxa"/>
            <w:tcBorders/>
          </w:tcPr>
          <w:p>
            <w:pPr>
              <w:pStyle w:val="Normal"/>
              <w:rPr>
                <w:color w:val="000000"/>
                <w:lang w:eastAsia="en-US"/>
              </w:rPr>
            </w:pPr>
            <w:r>
              <w:rPr>
                <w:color w:val="000000"/>
                <w:lang w:eastAsia="en-US"/>
              </w:rPr>
              <w:t xml:space="preserve">    </w:t>
            </w:r>
            <w:r>
              <w:rPr>
                <w:color w:val="000000"/>
                <w:lang w:eastAsia="en-US"/>
              </w:rPr>
              <w:t xml:space="preserve">Percent Base Gas </w:t>
            </w:r>
          </w:p>
        </w:tc>
        <w:tc>
          <w:tcPr>
            <w:tcW w:w="2729" w:type="dxa"/>
            <w:tcBorders/>
          </w:tcPr>
          <w:p>
            <w:pPr>
              <w:pStyle w:val="Normal"/>
              <w:rPr>
                <w:color w:val="000000"/>
                <w:lang w:eastAsia="en-US"/>
              </w:rPr>
            </w:pPr>
            <w:r>
              <w:rPr>
                <w:color w:val="000000"/>
                <w:lang w:eastAsia="en-US"/>
              </w:rPr>
              <w:t>50%</w:t>
            </w:r>
          </w:p>
        </w:tc>
        <w:tc>
          <w:tcPr>
            <w:tcW w:w="83" w:type="dxa"/>
            <w:gridSpan w:val="2"/>
            <w:tcBorders/>
          </w:tcPr>
          <w:p>
            <w:pPr>
              <w:pStyle w:val="Normal"/>
              <w:snapToGrid w:val="false"/>
              <w:rPr>
                <w:color w:val="000000"/>
                <w:lang w:eastAsia="en-US"/>
              </w:rPr>
            </w:pPr>
            <w:r>
              <w:rPr>
                <w:color w:val="000000"/>
                <w:lang w:eastAsia="en-US"/>
              </w:rPr>
            </w:r>
          </w:p>
        </w:tc>
        <w:tc>
          <w:tcPr>
            <w:tcW w:w="40" w:type="dxa"/>
            <w:tcBorders/>
            <w:tcMar>
              <w:start w:w="0" w:type="dxa"/>
              <w:end w:w="0" w:type="dxa"/>
            </w:tcMar>
          </w:tcPr>
          <w:p>
            <w:pPr>
              <w:pStyle w:val="Normal"/>
              <w:snapToGrid w:val="false"/>
              <w:rPr>
                <w:color w:val="000000"/>
                <w:lang w:eastAsia="en-US"/>
              </w:rPr>
            </w:pPr>
            <w:r>
              <w:rPr>
                <w:color w:val="000000"/>
                <w:lang w:eastAsia="en-US"/>
              </w:rPr>
            </w:r>
          </w:p>
        </w:tc>
      </w:tr>
    </w:tbl>
    <w:p>
      <w:pPr>
        <w:pStyle w:val="EEAHead1"/>
        <w:spacing w:before="0" w:after="0"/>
        <w:rPr/>
      </w:pPr>
      <w:r>
        <w:rPr/>
      </w:r>
    </w:p>
    <w:p>
      <w:pPr>
        <w:pStyle w:val="eeaopen"/>
        <w:spacing w:lineRule="auto" w:line="240"/>
        <w:rPr>
          <w:sz w:val="16"/>
        </w:rPr>
      </w:pPr>
      <w:r>
        <w:rPr>
          <w:sz w:val="16"/>
        </w:rPr>
        <w:t>Source:  Energy and Environmental Analysis, Inc.</w:t>
      </w:r>
    </w:p>
    <w:p>
      <w:pPr>
        <w:pStyle w:val="eeaopen"/>
        <w:spacing w:lineRule="auto" w:line="240"/>
        <w:ind w:firstLine="720" w:end="0"/>
        <w:jc w:val="center"/>
        <w:rPr>
          <w:rFonts w:ascii="Arial" w:hAnsi="Arial" w:cs="Arial"/>
          <w:b/>
        </w:rPr>
      </w:pPr>
      <w:r>
        <w:rPr>
          <w:rFonts w:cs="Arial" w:ascii="Arial" w:hAnsi="Arial"/>
          <w:b/>
        </w:rPr>
      </w:r>
    </w:p>
    <w:p>
      <w:pPr>
        <w:pStyle w:val="eeaopen"/>
        <w:spacing w:lineRule="auto" w:line="240"/>
        <w:ind w:firstLine="720" w:end="0"/>
        <w:jc w:val="center"/>
        <w:rPr>
          <w:rFonts w:ascii="Arial" w:hAnsi="Arial" w:cs="Arial"/>
          <w:b/>
        </w:rPr>
      </w:pPr>
      <w:r>
        <w:rPr>
          <w:rFonts w:cs="Arial" w:ascii="Arial" w:hAnsi="Arial"/>
          <w:b/>
        </w:rPr>
        <w:t>Exhibit 6-7</w:t>
      </w:r>
    </w:p>
    <w:p>
      <w:pPr>
        <w:pStyle w:val="eeaopen"/>
        <w:spacing w:lineRule="auto" w:line="240"/>
        <w:jc w:val="center"/>
        <w:rPr>
          <w:rFonts w:ascii="Arial" w:hAnsi="Arial" w:cs="Arial"/>
          <w:b/>
        </w:rPr>
      </w:pPr>
      <w:r>
        <w:rPr>
          <w:rFonts w:cs="Arial" w:ascii="Arial" w:hAnsi="Arial"/>
          <w:b/>
        </w:rPr>
        <w:t>Estimated Cost of Potential Expansion Of Existing Storage Fields</w:t>
      </w:r>
    </w:p>
    <w:p>
      <w:pPr>
        <w:pStyle w:val="eeaopen"/>
        <w:spacing w:lineRule="auto" w:line="240"/>
        <w:rPr>
          <w:rFonts w:ascii="Arial" w:hAnsi="Arial" w:cs="Arial"/>
          <w:b/>
        </w:rPr>
      </w:pPr>
      <w:r>
        <w:rPr>
          <w:rFonts w:cs="Arial" w:ascii="Arial" w:hAnsi="Arial"/>
          <w:b/>
        </w:rPr>
      </w:r>
    </w:p>
    <w:p>
      <w:pPr>
        <w:pStyle w:val="eeaopen"/>
        <w:spacing w:lineRule="auto" w:line="240"/>
        <w:jc w:val="center"/>
        <w:rPr>
          <w:lang w:val="en-CA"/>
        </w:rPr>
      </w:pPr>
      <w:r>
        <w:rPr>
          <w:lang w:val="en-CA"/>
        </w:rPr>
        <w:drawing>
          <wp:inline distT="0" distB="0" distL="0" distR="0">
            <wp:extent cx="5481955" cy="3748405"/>
            <wp:effectExtent l="0" t="0" r="0" b="0"/>
            <wp:docPr id="2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 descr="" title=""/>
                    <pic:cNvPicPr>
                      <a:picLocks noChangeAspect="1" noChangeArrowheads="1"/>
                    </pic:cNvPicPr>
                  </pic:nvPicPr>
                  <pic:blipFill>
                    <a:blip r:embed="rId36"/>
                    <a:srcRect l="-4" t="-6" r="-4" b="-6"/>
                    <a:stretch>
                      <a:fillRect/>
                    </a:stretch>
                  </pic:blipFill>
                  <pic:spPr bwMode="auto">
                    <a:xfrm>
                      <a:off x="0" y="0"/>
                      <a:ext cx="5481955" cy="3748405"/>
                    </a:xfrm>
                    <a:prstGeom prst="rect">
                      <a:avLst/>
                    </a:prstGeom>
                    <a:noFill/>
                  </pic:spPr>
                </pic:pic>
              </a:graphicData>
            </a:graphic>
          </wp:inline>
        </w:drawing>
      </w:r>
    </w:p>
    <w:p>
      <w:pPr>
        <w:pStyle w:val="eeaopen"/>
        <w:spacing w:lineRule="auto" w:line="240"/>
        <w:rPr>
          <w:lang w:val="en-CA"/>
        </w:rPr>
      </w:pPr>
      <w:r>
        <w:rPr>
          <w:lang w:val="en-CA"/>
        </w:rPr>
      </w:r>
    </w:p>
    <w:p>
      <w:pPr>
        <w:pStyle w:val="eeaopen"/>
        <w:spacing w:lineRule="auto" w:line="240"/>
        <w:rPr>
          <w:sz w:val="16"/>
        </w:rPr>
      </w:pPr>
      <w:r>
        <w:rPr>
          <w:sz w:val="16"/>
        </w:rPr>
        <w:t>Source:  Energy and Environmental Analysis, Inc.</w:t>
      </w:r>
    </w:p>
    <w:p>
      <w:pPr>
        <w:pStyle w:val="eeaopen"/>
        <w:spacing w:lineRule="auto" w:line="240"/>
        <w:rPr>
          <w:sz w:val="16"/>
        </w:rPr>
      </w:pPr>
      <w:r>
        <w:rPr>
          <w:sz w:val="16"/>
        </w:rPr>
      </w:r>
    </w:p>
    <w:p>
      <w:pPr>
        <w:pStyle w:val="eeaopen"/>
        <w:spacing w:lineRule="auto" w:line="240"/>
        <w:rPr/>
      </w:pPr>
      <w:r>
        <w:rPr/>
      </w:r>
    </w:p>
    <w:p>
      <w:pPr>
        <w:pStyle w:val="Heading2"/>
        <w:ind w:hanging="0" w:start="0"/>
        <w:rPr/>
      </w:pPr>
      <w:r>
        <w:rPr/>
        <w:t>6.4</w:t>
        <w:tab/>
        <w:t>Tariff Rates for New Storage Projects</w:t>
      </w:r>
    </w:p>
    <w:p>
      <w:pPr>
        <w:pStyle w:val="eeaopen"/>
        <w:spacing w:lineRule="auto" w:line="240"/>
        <w:rPr/>
      </w:pPr>
      <w:r>
        <w:rPr/>
        <w:t>Under traditional cost-based ratemaking, the maximum tariff rate for new storage facilities is determined by the facility’s annual cost of service.  The annual cost of service allows for full recovery of original construction cost, with a set rate of return on equity investment, as well as the annual operation and maintenance costs. Cost-based storage tariffs are calculated by allocating the annual cost of storage to the different components of the storage services offered on a volumetric basis.  Appendix C includes a more detailed discussion of the elements used to determine cost-based rates for a storage facility.  This appendix also illustrates the derivation of a cost-of-service based storage tariff for a recent storage project.</w:t>
      </w:r>
    </w:p>
    <w:p>
      <w:pPr>
        <w:pStyle w:val="eeaopen"/>
        <w:spacing w:lineRule="auto" w:line="240"/>
        <w:rPr/>
      </w:pPr>
      <w:r>
        <w:rPr/>
      </w:r>
    </w:p>
    <w:p>
      <w:pPr>
        <w:pStyle w:val="eeaopen"/>
        <w:spacing w:lineRule="auto" w:line="240"/>
        <w:rPr/>
      </w:pPr>
      <w:r>
        <w:rPr/>
        <w:t>FERC has begun to grant storage operators the right to charge market based rates for their services if the storage provider can demonstrate that they can not exercise market power.</w:t>
      </w:r>
      <w:r>
        <w:rPr>
          <w:rStyle w:val="FootnoteCharacters"/>
          <w:rStyle w:val="FootnoteReference"/>
        </w:rPr>
        <w:footnoteReference w:id="10"/>
      </w:r>
      <w:r>
        <w:rPr/>
        <w:t xml:space="preserve">  Storage project cost data is withheld from public release for these market-rate based projects.</w:t>
      </w:r>
    </w:p>
    <w:p>
      <w:pPr>
        <w:pStyle w:val="eeaopen"/>
        <w:spacing w:lineRule="auto" w:line="240"/>
        <w:rPr/>
      </w:pPr>
      <w:r>
        <w:rPr/>
      </w:r>
    </w:p>
    <w:p>
      <w:pPr>
        <w:pStyle w:val="Heading1"/>
        <w:ind w:hanging="0" w:start="0"/>
        <w:rPr/>
      </w:pPr>
      <w:r>
        <w:rPr/>
        <w:t>7. Future Storage Capacity and Investment Requirements</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t>GRI and other industry and government organizations are forecasting continuing growth in natural gas demand for the foreseeable future.  The growth in gas demand, and the changes in gas markets that increase the value of the system flexibility provided by storage are expected to create a continuing demand for new natural gas storage capacity and facilities.</w:t>
      </w:r>
    </w:p>
    <w:p>
      <w:pPr>
        <w:pStyle w:val="eeaopen"/>
        <w:spacing w:lineRule="auto" w:line="240"/>
        <w:rPr/>
      </w:pPr>
      <w:r>
        <w:rPr/>
      </w:r>
    </w:p>
    <w:p>
      <w:pPr>
        <w:pStyle w:val="eeaopen"/>
        <w:spacing w:lineRule="auto" w:line="240"/>
        <w:rPr/>
      </w:pPr>
      <w:r>
        <w:rPr/>
        <w:t>The overall impact of the demand growth on storage will be determined by a variety of factors, including location and magnitude of new pipeline construction, seasonal load profile of new demand, and operational changes in natural gas delivery systems.  Increases in seasonal natural gas demand and natural gas prices will stimulate a general demand for seasonal storage capacity. In addition, operational changes in the nature of gas demand and transportation, including short term fluctuations in demand in the power generation sector, and the growth in importance of hub storage to meet operational requirements will stimulate demand for storage fields such as salt dome storage, and strategically located depleted field storage with great operational flexibility.</w:t>
      </w:r>
    </w:p>
    <w:p>
      <w:pPr>
        <w:pStyle w:val="eeaopen"/>
        <w:spacing w:lineRule="auto" w:line="240"/>
        <w:rPr/>
      </w:pPr>
      <w:r>
        <w:rPr/>
      </w:r>
    </w:p>
    <w:p>
      <w:pPr>
        <w:pStyle w:val="eeaopen"/>
        <w:spacing w:lineRule="auto" w:line="240"/>
        <w:rPr/>
      </w:pPr>
      <w:r>
        <w:rPr/>
        <w:t>GRI and other industry and government organizations are projecting significant continuing growth in natural gas consumption.  The most recent version of the GRI Baseline</w:t>
      </w:r>
      <w:r>
        <w:rPr>
          <w:rStyle w:val="FootnoteCharacters"/>
          <w:rStyle w:val="FootnoteReference"/>
        </w:rPr>
        <w:footnoteReference w:id="11"/>
      </w:r>
      <w:r>
        <w:rPr/>
        <w:t xml:space="preserve"> is projecting U.S. natural gas demand to increase by more than 50 percent, from 21.3 Tcf in 1998 to 32.8 Tcf by 2015.</w:t>
      </w:r>
    </w:p>
    <w:p>
      <w:pPr>
        <w:pStyle w:val="eeaopen"/>
        <w:spacing w:lineRule="auto" w:line="240"/>
        <w:rPr/>
      </w:pPr>
      <w:r>
        <w:rPr/>
      </w:r>
    </w:p>
    <w:p>
      <w:pPr>
        <w:pStyle w:val="eeaopen"/>
        <w:spacing w:lineRule="auto" w:line="240"/>
        <w:rPr/>
      </w:pPr>
      <w:r>
        <w:rPr/>
        <w:t xml:space="preserve">Natural gas storage requirements are not expected to increase at the same rate as consumption.  Two trends in natural gas consumption will substantially decrease the seasonality of natural gas consumption over the GRI baseline projection period.  First, nearly 80 percent of the increase in gas consumption between 1998 and 2015 is in the industrial and power generation sectors, which have relatively flat year-round load profiles.  Only about 20 percent, or 2.3 Tcf of the growth in consumption is expected to occur in the residential and commercial sectors, where most of the seasonality in gas consumption occurs.  In addition, within the winter-peaking residential and commercial gas markets, the share of space heating is expected to decline as growth occurs in demand for services that have little winter-peaking, such as water heating, cooling, or cogeneration. </w:t>
      </w:r>
    </w:p>
    <w:p>
      <w:pPr>
        <w:pStyle w:val="eeaopen"/>
        <w:spacing w:lineRule="auto" w:line="240"/>
        <w:rPr/>
      </w:pPr>
      <w:r>
        <w:rPr/>
      </w:r>
    </w:p>
    <w:p>
      <w:pPr>
        <w:pStyle w:val="eeaopen"/>
        <w:spacing w:lineRule="auto" w:line="240"/>
        <w:rPr/>
      </w:pPr>
      <w:r>
        <w:rPr/>
        <w:t xml:space="preserve">In the most recent version of the GRI Baseline, lower-48 storage capacity for working gas is projected to increase by 21 percent between 1998 and 2015, from 3.8 Tcf to 4.6 Tcf.  As shown in Exhibit 7-1, near term increases in storage capacity are relatively small.  Only 0.2 Tcf of storage capacity additions are projected between 1998 and 2005.  The remaining 0.6 Tcf of storage capacity is expected to be added after 2005. </w:t>
      </w:r>
    </w:p>
    <w:p>
      <w:pPr>
        <w:pStyle w:val="eeaopen"/>
        <w:spacing w:lineRule="auto" w:line="240"/>
        <w:rPr/>
      </w:pPr>
      <w:r>
        <w:rPr/>
      </w:r>
    </w:p>
    <w:p>
      <w:pPr>
        <w:pStyle w:val="eeaopen"/>
        <w:spacing w:lineRule="auto" w:line="240"/>
        <w:rPr/>
      </w:pPr>
      <w:r>
        <w:rPr/>
        <w:t>The increase in storage capacity will require a total investment of nearly five billion dollars (Real 1998 $) between 1998 and 2015, with annual average investment of about 270 million dollars.  The annual investment costs associated with storage field expansion are shown in Exhibit 7-2.</w:t>
      </w:r>
    </w:p>
    <w:p>
      <w:pPr>
        <w:pStyle w:val="eeaopen"/>
        <w:spacing w:lineRule="auto" w:line="240"/>
        <w:rPr/>
      </w:pPr>
      <w:r>
        <w:rPr/>
      </w:r>
    </w:p>
    <w:p>
      <w:pPr>
        <w:pStyle w:val="eeaopen"/>
        <w:spacing w:lineRule="auto" w:line="240"/>
        <w:rPr/>
      </w:pPr>
      <w:bookmarkStart w:id="9" w:name="_1009623133"/>
      <w:bookmarkStart w:id="10" w:name="_1009031262"/>
      <w:bookmarkEnd w:id="9"/>
      <w:bookmarkEnd w:id="10"/>
      <w:r>
        <w:rPr/>
        <w:object w:dxaOrig="14081" w:dyaOrig="9217">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458.65pt;height:312.85pt" filled="f" o:ole="">
            <v:imagedata r:id="rId38" o:title=""/>
          </v:shape>
          <o:OLEObject Type="Embed" ProgID="Excel.Sheet.12" ShapeID="ole_rId37" DrawAspect="Content" ObjectID="_1986379414" r:id="rId37"/>
        </w:object>
      </w:r>
    </w:p>
    <w:p>
      <w:pPr>
        <w:pStyle w:val="eeaopen"/>
        <w:spacing w:lineRule="auto" w:line="240"/>
        <w:rPr/>
      </w:pPr>
      <w:r>
        <w:rPr/>
      </w:r>
    </w:p>
    <w:p>
      <w:pPr>
        <w:pStyle w:val="eeaopen"/>
        <w:spacing w:lineRule="auto" w:line="240"/>
        <w:rPr/>
      </w:pPr>
      <w:r>
        <w:rPr/>
      </w:r>
    </w:p>
    <w:p>
      <w:pPr>
        <w:pStyle w:val="eeaopen"/>
        <w:spacing w:lineRule="auto" w:line="240"/>
        <w:rPr/>
      </w:pPr>
      <w:r>
        <w:rPr/>
        <w:t xml:space="preserve">Even though the demand for natural gas storage capacity is not growing as quickly as the demand for natural gas, changes in the nature of natural gas demand are increasing the value of well placed storage facilities, and changes in the natural gas regulatory environment are increasing the flexibility of services that are offered by storage providers.  Both trends will increase the value of well placed facilities with flexible operational characteristics, while potentially decreasing the value of other less flexible storage facilities. </w:t>
      </w:r>
    </w:p>
    <w:p>
      <w:pPr>
        <w:pStyle w:val="eeaopen"/>
        <w:spacing w:lineRule="auto" w:line="240"/>
        <w:rPr/>
      </w:pPr>
      <w:r>
        <w:rPr/>
      </w:r>
    </w:p>
    <w:p>
      <w:pPr>
        <w:pStyle w:val="eeaopen"/>
        <w:spacing w:lineRule="auto" w:line="240"/>
        <w:rPr/>
      </w:pPr>
      <w:r>
        <w:rPr/>
        <w:t>Much of the growth in natural gas demand over the next 10 to 20 years is expected in new gas fired combustion turbine electric power plants (primarily combined cycle).  These units have highly variable demands and require significant surge capacity to accommodate rapid on/off cycles.  When located appropriately, underground storage with rapid injection and withdrawal capabilities is perhaps the easiest and least expensive method of meeting these surge requirements.  This trend seems unlikely to stimulate significant new storage development however, as the location of potential new underground storage fields generally will not correspond with the location of new generating facilities, hence pipeline linepack and compression will often provide a more economic approach to meeting these surge requirements.</w:t>
      </w:r>
    </w:p>
    <w:p>
      <w:pPr>
        <w:pStyle w:val="eeaopen"/>
        <w:spacing w:lineRule="auto" w:line="240"/>
        <w:rPr/>
      </w:pPr>
      <w:r>
        <w:rPr/>
        <w:object w:dxaOrig="14081" w:dyaOrig="896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position:absolute;margin-left:0pt;margin-top:-294.6pt;width:1.25pt;height:1.25pt;mso-wrap-distance-left:9.05pt;mso-wrap-distance-right:9.05pt;mso-position-horizontal-relative:text;mso-position-vertical-relative:text" filled="f" o:ole="">
            <v:imagedata r:id="rId40" o:title=""/>
            <w10:wrap type="topAndBottom"/>
          </v:shape>
          <o:OLEObject Type="Embed" ProgID="Excel.Sheet.12" ShapeID="ole_rId39" DrawAspect="Content" ObjectID="_857583705" r:id="rId39"/>
        </w:object>
      </w:r>
    </w:p>
    <w:p>
      <w:pPr>
        <w:pStyle w:val="eeaopen"/>
        <w:spacing w:lineRule="auto" w:line="240"/>
        <w:rPr/>
      </w:pPr>
      <w:r>
        <w:rPr/>
        <w:t>The changing regulatory environment also has mixed impacts on future demand for storage.  The shift toward a single fixed variable rate (SFV) structure, and the continuing unbundling of end-use natural gas services is likely to increase the share of capacity costs charged to usage on the peak day.  This trend will increase incentives on the part of end-users to constrain peak period gas demand, which will tend to flatten the overall gas demand profile.  Any flattening of the overall load profile will tend to reduce the value of storage.  However, the shift toward SFV rates also will encourage higher utilization of pipeline capacity, which increases the value of market area storage.  In addition, the current regulatory trend toward increasing competition is likely to result in more efficient use of existing storage fields, hence reducing the need for new storage capacity.</w:t>
      </w:r>
    </w:p>
    <w:p>
      <w:pPr>
        <w:pStyle w:val="eeaopen"/>
        <w:spacing w:lineRule="auto" w:line="240"/>
        <w:rPr/>
      </w:pPr>
      <w:r>
        <w:rPr/>
        <w:object w:dxaOrig="14081" w:dyaOrig="89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position:absolute;margin-left:0pt;margin-top:-294.6pt;width:1.25pt;height:1.25pt;mso-wrap-distance-left:9.05pt;mso-wrap-distance-right:9.05pt;mso-position-horizontal-relative:text;mso-position-vertical-relative:text" filled="f" o:ole="">
            <v:imagedata r:id="rId42" o:title=""/>
            <w10:wrap type="topAndBottom"/>
          </v:shape>
          <o:OLEObject Type="Embed" ProgID="Excel.Sheet.12" ShapeID="ole_rId41" DrawAspect="Content" ObjectID="_1782735459" r:id="rId41"/>
        </w:object>
      </w:r>
    </w:p>
    <w:p>
      <w:pPr>
        <w:pStyle w:val="eeaopen"/>
        <w:spacing w:lineRule="auto" w:line="240"/>
        <w:rPr/>
      </w:pPr>
      <w:r>
        <w:rPr/>
        <w:t xml:space="preserve">Finally, the value of storage will depend significantly on investments in the pipeline transmission capacity into different regions of the country.  This point is clearly illustrated in Storage Case Study #2, which looks at the changes in the California storage market that occurred after pipeline capacity into the region was expanded in the early 1990’s.  </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bookmarkStart w:id="11" w:name="_1009640997"/>
      <w:bookmarkStart w:id="12" w:name="_1009640957"/>
      <w:bookmarkStart w:id="13" w:name="_1009640677"/>
      <w:bookmarkStart w:id="14" w:name="_1009629743"/>
      <w:bookmarkStart w:id="15" w:name="_1009629523"/>
      <w:bookmarkStart w:id="16" w:name="_1009031387"/>
      <w:bookmarkEnd w:id="11"/>
      <w:bookmarkEnd w:id="12"/>
      <w:bookmarkEnd w:id="13"/>
      <w:bookmarkEnd w:id="14"/>
      <w:bookmarkEnd w:id="15"/>
      <w:bookmarkEnd w:id="16"/>
      <w:r>
        <w:rPr/>
        <w:object w:dxaOrig="10240" w:dyaOrig="7425">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459.35pt;height:352.15pt" filled="f" o:ole="">
            <v:imagedata r:id="rId44" o:title=""/>
          </v:shape>
          <o:OLEObject Type="Embed" ProgID="Excel.Sheet.12" ShapeID="ole_rId43" DrawAspect="Content" ObjectID="_2062888020" r:id="rId43"/>
        </w:object>
      </w:r>
    </w:p>
    <w:p>
      <w:pPr>
        <w:pStyle w:val="eeaopen"/>
        <w:spacing w:lineRule="auto" w:line="240"/>
        <w:rPr/>
      </w:pPr>
      <w:r>
        <w:rPr/>
      </w:r>
    </w:p>
    <w:p>
      <w:pPr>
        <w:pStyle w:val="eeaopen"/>
        <w:spacing w:lineRule="auto" w:line="240" w:before="0" w:after="120"/>
        <w:ind w:hanging="720" w:start="720" w:end="0"/>
        <w:rPr>
          <w:rFonts w:ascii="Arial" w:hAnsi="Arial" w:cs="Arial"/>
          <w:b/>
          <w:sz w:val="28"/>
          <w:lang w:val="en-CA"/>
        </w:rPr>
      </w:pPr>
      <w:r>
        <w:rPr>
          <w:rFonts w:cs="Arial" w:ascii="Arial" w:hAnsi="Arial"/>
          <w:b/>
          <w:sz w:val="28"/>
          <w:lang w:val="en-CA"/>
        </w:rPr>
      </w:r>
      <w:r>
        <mc:AlternateContent>
          <mc:Choice Requires="wps">
            <w:drawing>
              <wp:anchor behindDoc="0" distT="91440" distB="91440" distL="114935" distR="114935" simplePos="0" locked="0" layoutInCell="0" allowOverlap="1" relativeHeight="25">
                <wp:simplePos x="0" y="0"/>
                <wp:positionH relativeFrom="column">
                  <wp:posOffset>-104140</wp:posOffset>
                </wp:positionH>
                <wp:positionV relativeFrom="page">
                  <wp:posOffset>1724660</wp:posOffset>
                </wp:positionV>
                <wp:extent cx="6177280" cy="5786120"/>
                <wp:effectExtent l="0" t="0" r="0" b="0"/>
                <wp:wrapTopAndBottom/>
                <wp:docPr id="23" name="Frame8"/>
                <a:graphic xmlns:a="http://schemas.openxmlformats.org/drawingml/2006/main">
                  <a:graphicData uri="http://schemas.microsoft.com/office/word/2010/wordprocessingShape">
                    <wps:wsp>
                      <wps:cNvSpPr txBox="1"/>
                      <wps:spPr>
                        <a:xfrm>
                          <a:off x="0" y="0"/>
                          <a:ext cx="6177280" cy="5786120"/>
                        </a:xfrm>
                        <a:prstGeom prst="rect"/>
                        <a:solidFill>
                          <a:srgbClr val="FFFFFF">
                            <a:alpha val="0"/>
                          </a:srgbClr>
                        </a:solidFill>
                        <a:ln w="25400">
                          <a:solidFill>
                            <a:srgbClr val="000000"/>
                          </a:solidFill>
                        </a:ln>
                      </wps:spPr>
                      <wps:txbx>
                        <w:txbxContent>
                          <w:tbl>
                            <w:tblPr>
                              <w:tblW w:w="9375" w:type="dxa"/>
                              <w:jc w:val="start"/>
                              <w:tblInd w:w="108" w:type="dxa"/>
                              <w:tblLayout w:type="fixed"/>
                              <w:tblCellMar>
                                <w:top w:w="0" w:type="dxa"/>
                                <w:start w:w="108" w:type="dxa"/>
                                <w:bottom w:w="0" w:type="dxa"/>
                                <w:end w:w="108" w:type="dxa"/>
                              </w:tblCellMar>
                            </w:tblPr>
                            <w:tblGrid>
                              <w:gridCol w:w="9375"/>
                            </w:tblGrid>
                            <w:tr>
                              <w:trPr/>
                              <w:tc>
                                <w:tcPr>
                                  <w:tcW w:w="9375" w:type="dxa"/>
                                  <w:tcBorders>
                                    <w:top w:val="single" w:sz="4" w:space="0" w:color="000000"/>
                                    <w:start w:val="single" w:sz="4" w:space="0" w:color="000000"/>
                                    <w:bottom w:val="single" w:sz="4" w:space="0" w:color="000000"/>
                                    <w:end w:val="single" w:sz="4" w:space="0" w:color="000000"/>
                                  </w:tcBorders>
                                  <w:shd w:fill="CCCCCC" w:val="clear"/>
                                </w:tcPr>
                                <w:p>
                                  <w:pPr>
                                    <w:pStyle w:val="eeaopen"/>
                                    <w:shd w:fill="D8D8D8" w:val="clear"/>
                                    <w:spacing w:lineRule="auto" w:line="240"/>
                                    <w:jc w:val="center"/>
                                    <w:rPr>
                                      <w:b/>
                                    </w:rPr>
                                  </w:pPr>
                                  <w:r>
                                    <w:rPr>
                                      <w:b/>
                                    </w:rPr>
                                    <w:t xml:space="preserve">Storage Development Case Study #2 </w:t>
                                  </w:r>
                                </w:p>
                                <w:p>
                                  <w:pPr>
                                    <w:pStyle w:val="eeaopen"/>
                                    <w:shd w:fill="D8D8D8" w:val="clear"/>
                                    <w:spacing w:lineRule="auto" w:line="240"/>
                                    <w:jc w:val="center"/>
                                    <w:rPr>
                                      <w:b/>
                                    </w:rPr>
                                  </w:pPr>
                                  <w:r>
                                    <w:rPr>
                                      <w:b/>
                                    </w:rPr>
                                    <w:t>California Market Area Storage After Pipeline Expansion</w:t>
                                  </w:r>
                                </w:p>
                                <w:p>
                                  <w:pPr>
                                    <w:pStyle w:val="eeaopen"/>
                                    <w:shd w:fill="D8D8D8" w:val="clear"/>
                                    <w:spacing w:lineRule="auto" w:line="240"/>
                                    <w:jc w:val="center"/>
                                    <w:rPr>
                                      <w:b/>
                                    </w:rPr>
                                  </w:pPr>
                                  <w:r>
                                    <w:rPr>
                                      <w:b/>
                                    </w:rPr>
                                  </w:r>
                                </w:p>
                                <w:p>
                                  <w:pPr>
                                    <w:pStyle w:val="eeaopen"/>
                                    <w:shd w:fill="D8D8D8" w:val="clear"/>
                                    <w:spacing w:lineRule="auto" w:line="240"/>
                                    <w:rPr>
                                      <w:b/>
                                    </w:rPr>
                                  </w:pPr>
                                  <w:r>
                                    <w:rPr>
                                      <w:b/>
                                    </w:rPr>
                                  </w:r>
                                </w:p>
                                <w:p>
                                  <w:pPr>
                                    <w:pStyle w:val="eeaopen"/>
                                    <w:shd w:fill="D8D8D8" w:val="clear"/>
                                    <w:spacing w:lineRule="auto" w:line="240"/>
                                    <w:rPr/>
                                  </w:pPr>
                                  <w:r>
                                    <w:rPr/>
                                    <w:t>The California market presents a useful case study concerning the impact of excess pipeline capacity on storage development and usage.  As of January 1997, natural gas storage capacity in California included 222 Bcf of working gas capacity and 6,470 MMcf/d of daily deliverability, accounting for 5.9 percent of total U.S. working gas and 8.7 percent of total U.S. deliverability.  1996 California natural gas consumption totaled 1.7 Tcf, of which 155 Bcf, or about nine percent, was withdrawn from California storage.  All of the storage capacity in California is located in depleted gas/oil fields.</w:t>
                                  </w:r>
                                </w:p>
                                <w:p>
                                  <w:pPr>
                                    <w:pStyle w:val="eeaopen"/>
                                    <w:shd w:fill="D8D8D8" w:val="clear"/>
                                    <w:spacing w:lineRule="auto" w:line="240"/>
                                    <w:rPr/>
                                  </w:pPr>
                                  <w:r>
                                    <w:rPr/>
                                  </w:r>
                                </w:p>
                                <w:p>
                                  <w:pPr>
                                    <w:pStyle w:val="eeaopen"/>
                                    <w:shd w:fill="D8D8D8" w:val="clear"/>
                                    <w:spacing w:lineRule="auto" w:line="240"/>
                                    <w:rPr/>
                                  </w:pPr>
                                  <w:r>
                                    <w:rPr/>
                                    <w:t>Before the 1992/1993 heating season, gas consumption in California was limited by pipeline capacity into California.  The limitations on pipeline capacity created substantial incentives to develop storage fields to more fully use the available pipeline capacity.  California distribution companies developed enough market area storage capacity to ensure close to 100 percent pipeline utilization.  During this time period, there was insufficient pipeline capacity into California to utilize additional storage capacity.</w:t>
                                  </w:r>
                                </w:p>
                                <w:p>
                                  <w:pPr>
                                    <w:pStyle w:val="eeaopen"/>
                                    <w:shd w:fill="D8D8D8" w:val="clear"/>
                                    <w:spacing w:lineRule="auto" w:line="240"/>
                                    <w:rPr/>
                                  </w:pPr>
                                  <w:r>
                                    <w:rPr/>
                                  </w:r>
                                </w:p>
                                <w:p>
                                  <w:pPr>
                                    <w:pStyle w:val="eeaopen"/>
                                    <w:shd w:fill="D8D8D8" w:val="clear"/>
                                    <w:spacing w:lineRule="auto" w:line="240"/>
                                    <w:rPr/>
                                  </w:pPr>
                                  <w:r>
                                    <w:rPr/>
                                    <w:t>The Pacific Gas Transmission pipeline expansion into California, and the Northwest Pipeline Corporation pipeline expansion into the Northwest were completed in 1993, increasing pipeline capacity into the western region of the U.S. by about 15 percent, from 9,386 MMcf/d to 10,719 MMcf/d.  However, natural gas demand in California has remained relatively flat since the late 1980’s, and the additional pipeline capacity into the state and region has not been fully utilized.</w:t>
                                  </w:r>
                                </w:p>
                                <w:p>
                                  <w:pPr>
                                    <w:pStyle w:val="eeaopen"/>
                                    <w:shd w:fill="D8D8D8" w:val="clear"/>
                                    <w:spacing w:lineRule="auto" w:line="240"/>
                                    <w:rPr/>
                                  </w:pPr>
                                  <w:r>
                                    <w:rPr/>
                                  </w:r>
                                </w:p>
                                <w:p>
                                  <w:pPr>
                                    <w:pStyle w:val="eeaopen"/>
                                    <w:shd w:fill="D8D8D8" w:val="clear"/>
                                    <w:spacing w:lineRule="auto" w:line="240"/>
                                    <w:rPr/>
                                  </w:pPr>
                                  <w:r>
                                    <w:rPr/>
                                    <w:t>During the years leading up to the pipeline expansion, four new storage developments were proposed in order to take advantage of the additional pipeline capacity.  These projects would have increased California storage capacity by 21 percent.  These projects were initially proposed before the 1993 pipeline expansion projects into the California market, and were expected to take advantage of the increased pipeline capacity to provide working gas to meet incremental seasonal gas requirements (heating demands in the winter, and electric generation demands in the summer).  However, all of the projects were put on hold after it became obvious that excess pipeline capacity into the market would reduce the value of the storage in this market.  Instead of using additional storage, California gas consumers are using the excess pipeline capacity to meet seasonal fluctuations in gas demand.</w:t>
                                  </w:r>
                                </w:p>
                                <w:p>
                                  <w:pPr>
                                    <w:pStyle w:val="eeaopen"/>
                                    <w:shd w:fill="D8D8D8" w:val="clear"/>
                                    <w:spacing w:lineRule="auto" w:line="240"/>
                                    <w:rPr/>
                                  </w:pPr>
                                  <w:r>
                                    <w:rPr/>
                                  </w:r>
                                </w:p>
                                <w:p>
                                  <w:pPr>
                                    <w:pStyle w:val="eeaopen"/>
                                    <w:shd w:fill="D8D8D8" w:val="clear"/>
                                    <w:spacing w:lineRule="auto" w:line="240"/>
                                    <w:rPr>
                                      <w:b/>
                                    </w:rPr>
                                  </w:pPr>
                                  <w:r>
                                    <w:rPr/>
                                    <w:t>To date, none of these projects have been completed.  There have been no significant increases in storage capacity in California since before 1989.   As of September 1997, the Wild Goose project (14 Bcf working gas, 200 MMcf/d deliverability) was scheduled to be in service by the end of 1998.  The other three projects are still on hold due in part to concerns about profitability caused by the excess pipeline capacity into the region.</w:t>
                                  </w:r>
                                </w:p>
                                <w:p>
                                  <w:pPr>
                                    <w:pStyle w:val="eeaopen"/>
                                    <w:spacing w:lineRule="auto" w:line="240"/>
                                    <w:jc w:val="center"/>
                                    <w:rPr>
                                      <w:b/>
                                    </w:rPr>
                                  </w:pPr>
                                  <w:r>
                                    <w:rPr>
                                      <w:b/>
                                    </w:rPr>
                                  </w:r>
                                </w:p>
                              </w:tc>
                            </w:tr>
                          </w:tbl>
                          <w:p>
                            <w:pPr>
                              <w:pStyle w:val="eeaopen"/>
                              <w:spacing w:lineRule="auto" w:line="240"/>
                              <w:jc w:val="center"/>
                              <w:rPr>
                                <w:b/>
                              </w:rPr>
                            </w:pPr>
                            <w:r>
                              <w:rPr>
                                <w:b/>
                              </w:rPr>
                            </w:r>
                          </w:p>
                          <w:p>
                            <w:pPr>
                              <w:pStyle w:val="eeaopen"/>
                              <w:spacing w:lineRule="auto" w:line="240"/>
                              <w:rPr/>
                            </w:pPr>
                            <w:r>
                              <w:rPr/>
                              <w:t xml:space="preserve"> </w:t>
                            </w:r>
                          </w:p>
                        </w:txbxContent>
                      </wps:txbx>
                      <wps:bodyPr anchor="t" lIns="91440" tIns="45720" rIns="91440" bIns="45720">
                        <a:noAutofit/>
                      </wps:bodyPr>
                    </wps:wsp>
                  </a:graphicData>
                </a:graphic>
              </wp:anchor>
            </w:drawing>
          </mc:Choice>
          <mc:Fallback>
            <w:pict>
              <v:rect fillcolor="#FFFFFF" strokecolor="#000000" strokeweight="2pt" style="position:absolute;rotation:-0;width:486.4pt;height:455.6pt;mso-wrap-distance-left:9.05pt;mso-wrap-distance-right:9.05pt;mso-wrap-distance-top:7.2pt;mso-wrap-distance-bottom:7.2pt;margin-top:135.8pt;mso-position-vertical-relative:page;margin-left:-8.2pt;mso-position-horizontal-relative:text">
                <v:fill opacity="0f"/>
                <v:textbox>
                  <w:txbxContent>
                    <w:tbl>
                      <w:tblPr>
                        <w:tblW w:w="9375" w:type="dxa"/>
                        <w:jc w:val="start"/>
                        <w:tblInd w:w="108" w:type="dxa"/>
                        <w:tblLayout w:type="fixed"/>
                        <w:tblCellMar>
                          <w:top w:w="0" w:type="dxa"/>
                          <w:start w:w="108" w:type="dxa"/>
                          <w:bottom w:w="0" w:type="dxa"/>
                          <w:end w:w="108" w:type="dxa"/>
                        </w:tblCellMar>
                      </w:tblPr>
                      <w:tblGrid>
                        <w:gridCol w:w="9375"/>
                      </w:tblGrid>
                      <w:tr>
                        <w:trPr/>
                        <w:tc>
                          <w:tcPr>
                            <w:tcW w:w="9375" w:type="dxa"/>
                            <w:tcBorders>
                              <w:top w:val="single" w:sz="4" w:space="0" w:color="000000"/>
                              <w:start w:val="single" w:sz="4" w:space="0" w:color="000000"/>
                              <w:bottom w:val="single" w:sz="4" w:space="0" w:color="000000"/>
                              <w:end w:val="single" w:sz="4" w:space="0" w:color="000000"/>
                            </w:tcBorders>
                            <w:shd w:fill="CCCCCC" w:val="clear"/>
                          </w:tcPr>
                          <w:p>
                            <w:pPr>
                              <w:pStyle w:val="eeaopen"/>
                              <w:shd w:fill="D8D8D8" w:val="clear"/>
                              <w:spacing w:lineRule="auto" w:line="240"/>
                              <w:jc w:val="center"/>
                              <w:rPr>
                                <w:b/>
                              </w:rPr>
                            </w:pPr>
                            <w:r>
                              <w:rPr>
                                <w:b/>
                              </w:rPr>
                              <w:t xml:space="preserve">Storage Development Case Study #2 </w:t>
                            </w:r>
                          </w:p>
                          <w:p>
                            <w:pPr>
                              <w:pStyle w:val="eeaopen"/>
                              <w:shd w:fill="D8D8D8" w:val="clear"/>
                              <w:spacing w:lineRule="auto" w:line="240"/>
                              <w:jc w:val="center"/>
                              <w:rPr>
                                <w:b/>
                              </w:rPr>
                            </w:pPr>
                            <w:r>
                              <w:rPr>
                                <w:b/>
                              </w:rPr>
                              <w:t>California Market Area Storage After Pipeline Expansion</w:t>
                            </w:r>
                          </w:p>
                          <w:p>
                            <w:pPr>
                              <w:pStyle w:val="eeaopen"/>
                              <w:shd w:fill="D8D8D8" w:val="clear"/>
                              <w:spacing w:lineRule="auto" w:line="240"/>
                              <w:jc w:val="center"/>
                              <w:rPr>
                                <w:b/>
                              </w:rPr>
                            </w:pPr>
                            <w:r>
                              <w:rPr>
                                <w:b/>
                              </w:rPr>
                            </w:r>
                          </w:p>
                          <w:p>
                            <w:pPr>
                              <w:pStyle w:val="eeaopen"/>
                              <w:shd w:fill="D8D8D8" w:val="clear"/>
                              <w:spacing w:lineRule="auto" w:line="240"/>
                              <w:rPr>
                                <w:b/>
                              </w:rPr>
                            </w:pPr>
                            <w:r>
                              <w:rPr>
                                <w:b/>
                              </w:rPr>
                            </w:r>
                          </w:p>
                          <w:p>
                            <w:pPr>
                              <w:pStyle w:val="eeaopen"/>
                              <w:shd w:fill="D8D8D8" w:val="clear"/>
                              <w:spacing w:lineRule="auto" w:line="240"/>
                              <w:rPr/>
                            </w:pPr>
                            <w:r>
                              <w:rPr/>
                              <w:t>The California market presents a useful case study concerning the impact of excess pipeline capacity on storage development and usage.  As of January 1997, natural gas storage capacity in California included 222 Bcf of working gas capacity and 6,470 MMcf/d of daily deliverability, accounting for 5.9 percent of total U.S. working gas and 8.7 percent of total U.S. deliverability.  1996 California natural gas consumption totaled 1.7 Tcf, of which 155 Bcf, or about nine percent, was withdrawn from California storage.  All of the storage capacity in California is located in depleted gas/oil fields.</w:t>
                            </w:r>
                          </w:p>
                          <w:p>
                            <w:pPr>
                              <w:pStyle w:val="eeaopen"/>
                              <w:shd w:fill="D8D8D8" w:val="clear"/>
                              <w:spacing w:lineRule="auto" w:line="240"/>
                              <w:rPr/>
                            </w:pPr>
                            <w:r>
                              <w:rPr/>
                            </w:r>
                          </w:p>
                          <w:p>
                            <w:pPr>
                              <w:pStyle w:val="eeaopen"/>
                              <w:shd w:fill="D8D8D8" w:val="clear"/>
                              <w:spacing w:lineRule="auto" w:line="240"/>
                              <w:rPr/>
                            </w:pPr>
                            <w:r>
                              <w:rPr/>
                              <w:t>Before the 1992/1993 heating season, gas consumption in California was limited by pipeline capacity into California.  The limitations on pipeline capacity created substantial incentives to develop storage fields to more fully use the available pipeline capacity.  California distribution companies developed enough market area storage capacity to ensure close to 100 percent pipeline utilization.  During this time period, there was insufficient pipeline capacity into California to utilize additional storage capacity.</w:t>
                            </w:r>
                          </w:p>
                          <w:p>
                            <w:pPr>
                              <w:pStyle w:val="eeaopen"/>
                              <w:shd w:fill="D8D8D8" w:val="clear"/>
                              <w:spacing w:lineRule="auto" w:line="240"/>
                              <w:rPr/>
                            </w:pPr>
                            <w:r>
                              <w:rPr/>
                            </w:r>
                          </w:p>
                          <w:p>
                            <w:pPr>
                              <w:pStyle w:val="eeaopen"/>
                              <w:shd w:fill="D8D8D8" w:val="clear"/>
                              <w:spacing w:lineRule="auto" w:line="240"/>
                              <w:rPr/>
                            </w:pPr>
                            <w:r>
                              <w:rPr/>
                              <w:t>The Pacific Gas Transmission pipeline expansion into California, and the Northwest Pipeline Corporation pipeline expansion into the Northwest were completed in 1993, increasing pipeline capacity into the western region of the U.S. by about 15 percent, from 9,386 MMcf/d to 10,719 MMcf/d.  However, natural gas demand in California has remained relatively flat since the late 1980’s, and the additional pipeline capacity into the state and region has not been fully utilized.</w:t>
                            </w:r>
                          </w:p>
                          <w:p>
                            <w:pPr>
                              <w:pStyle w:val="eeaopen"/>
                              <w:shd w:fill="D8D8D8" w:val="clear"/>
                              <w:spacing w:lineRule="auto" w:line="240"/>
                              <w:rPr/>
                            </w:pPr>
                            <w:r>
                              <w:rPr/>
                            </w:r>
                          </w:p>
                          <w:p>
                            <w:pPr>
                              <w:pStyle w:val="eeaopen"/>
                              <w:shd w:fill="D8D8D8" w:val="clear"/>
                              <w:spacing w:lineRule="auto" w:line="240"/>
                              <w:rPr/>
                            </w:pPr>
                            <w:r>
                              <w:rPr/>
                              <w:t>During the years leading up to the pipeline expansion, four new storage developments were proposed in order to take advantage of the additional pipeline capacity.  These projects would have increased California storage capacity by 21 percent.  These projects were initially proposed before the 1993 pipeline expansion projects into the California market, and were expected to take advantage of the increased pipeline capacity to provide working gas to meet incremental seasonal gas requirements (heating demands in the winter, and electric generation demands in the summer).  However, all of the projects were put on hold after it became obvious that excess pipeline capacity into the market would reduce the value of the storage in this market.  Instead of using additional storage, California gas consumers are using the excess pipeline capacity to meet seasonal fluctuations in gas demand.</w:t>
                            </w:r>
                          </w:p>
                          <w:p>
                            <w:pPr>
                              <w:pStyle w:val="eeaopen"/>
                              <w:shd w:fill="D8D8D8" w:val="clear"/>
                              <w:spacing w:lineRule="auto" w:line="240"/>
                              <w:rPr/>
                            </w:pPr>
                            <w:r>
                              <w:rPr/>
                            </w:r>
                          </w:p>
                          <w:p>
                            <w:pPr>
                              <w:pStyle w:val="eeaopen"/>
                              <w:shd w:fill="D8D8D8" w:val="clear"/>
                              <w:spacing w:lineRule="auto" w:line="240"/>
                              <w:rPr>
                                <w:b/>
                              </w:rPr>
                            </w:pPr>
                            <w:r>
                              <w:rPr/>
                              <w:t>To date, none of these projects have been completed.  There have been no significant increases in storage capacity in California since before 1989.   As of September 1997, the Wild Goose project (14 Bcf working gas, 200 MMcf/d deliverability) was scheduled to be in service by the end of 1998.  The other three projects are still on hold due in part to concerns about profitability caused by the excess pipeline capacity into the region.</w:t>
                            </w:r>
                          </w:p>
                          <w:p>
                            <w:pPr>
                              <w:pStyle w:val="eeaopen"/>
                              <w:spacing w:lineRule="auto" w:line="240"/>
                              <w:jc w:val="center"/>
                              <w:rPr>
                                <w:b/>
                              </w:rPr>
                            </w:pPr>
                            <w:r>
                              <w:rPr>
                                <w:b/>
                              </w:rPr>
                            </w:r>
                          </w:p>
                        </w:tc>
                      </w:tr>
                    </w:tbl>
                    <w:p>
                      <w:pPr>
                        <w:pStyle w:val="eeaopen"/>
                        <w:spacing w:lineRule="auto" w:line="240"/>
                        <w:jc w:val="center"/>
                        <w:rPr>
                          <w:b/>
                        </w:rPr>
                      </w:pPr>
                      <w:r>
                        <w:rPr>
                          <w:b/>
                        </w:rPr>
                      </w:r>
                    </w:p>
                    <w:p>
                      <w:pPr>
                        <w:pStyle w:val="eeaopen"/>
                        <w:spacing w:lineRule="auto" w:line="240"/>
                        <w:rPr/>
                      </w:pPr>
                      <w:r>
                        <w:rPr/>
                        <w:t xml:space="preserve"> </w:t>
                      </w:r>
                    </w:p>
                  </w:txbxContent>
                </v:textbox>
                <w10:wrap type="topAndBottom"/>
              </v:rect>
            </w:pict>
          </mc:Fallback>
        </mc:AlternateContent>
      </w:r>
    </w:p>
    <w:p>
      <w:pPr>
        <w:pStyle w:val="eeaopen"/>
        <w:spacing w:lineRule="auto" w:line="240" w:before="0" w:after="120"/>
        <w:ind w:hanging="720" w:start="720" w:end="0"/>
        <w:rPr>
          <w:rFonts w:ascii="Arial" w:hAnsi="Arial" w:cs="Arial"/>
          <w:b/>
          <w:sz w:val="28"/>
        </w:rPr>
      </w:pPr>
      <w:r>
        <w:rPr>
          <w:rFonts w:cs="Arial" w:ascii="Arial" w:hAnsi="Arial"/>
          <w:b/>
          <w:sz w:val="28"/>
        </w:rPr>
      </w:r>
    </w:p>
    <w:p>
      <w:pPr>
        <w:pStyle w:val="eeaopen"/>
        <w:spacing w:lineRule="auto" w:line="240" w:before="0" w:after="120"/>
        <w:ind w:hanging="720" w:start="720" w:end="0"/>
        <w:rPr>
          <w:rFonts w:ascii="Arial" w:hAnsi="Arial" w:cs="Arial"/>
          <w:b/>
          <w:sz w:val="28"/>
        </w:rPr>
      </w:pPr>
      <w:r>
        <w:rPr>
          <w:rFonts w:cs="Arial" w:ascii="Arial" w:hAnsi="Arial"/>
          <w:b/>
          <w:sz w:val="28"/>
        </w:rPr>
      </w:r>
    </w:p>
    <w:p>
      <w:pPr>
        <w:pStyle w:val="Heading1"/>
        <w:ind w:hanging="0" w:start="0"/>
        <w:rPr/>
      </w:pPr>
      <w:r>
        <w:rPr/>
        <w:t xml:space="preserve">Appendix A: </w:t>
        <w:tab/>
        <w:t xml:space="preserve">Comparison Between EIA and AGA Estimates Of </w:t>
      </w:r>
      <w:r>
        <w:rPr>
          <w:b w:val="false"/>
          <w:sz w:val="28"/>
        </w:rPr>
        <w:t>Underground Storage Capacity and Deliverability</w:t>
      </w:r>
    </w:p>
    <w:p>
      <w:pPr>
        <w:pStyle w:val="eeaopen"/>
        <w:spacing w:lineRule="auto" w:line="240"/>
        <w:rPr>
          <w:b/>
          <w:sz w:val="28"/>
        </w:rPr>
      </w:pPr>
      <w:r>
        <w:rPr>
          <w:b/>
          <w:sz w:val="28"/>
        </w:rPr>
      </w:r>
    </w:p>
    <w:p>
      <w:pPr>
        <w:pStyle w:val="eeaopen"/>
        <w:spacing w:lineRule="auto" w:line="240"/>
        <w:rPr/>
      </w:pPr>
      <w:r>
        <w:rPr/>
      </w:r>
    </w:p>
    <w:p>
      <w:pPr>
        <w:pStyle w:val="eeaopen"/>
        <w:spacing w:lineRule="auto" w:line="240"/>
        <w:rPr/>
      </w:pPr>
      <w:r>
        <w:rPr/>
      </w:r>
    </w:p>
    <w:p>
      <w:pPr>
        <w:pStyle w:val="eeaopen"/>
        <w:spacing w:lineRule="auto" w:line="240"/>
        <w:ind w:hanging="1350" w:start="1350" w:end="0"/>
        <w:jc w:val="center"/>
        <w:rPr>
          <w:rFonts w:ascii="Arial" w:hAnsi="Arial" w:cs="Arial"/>
          <w:b/>
        </w:rPr>
      </w:pPr>
      <w:r>
        <w:rPr>
          <w:rFonts w:cs="Arial" w:ascii="Arial" w:hAnsi="Arial"/>
          <w:b/>
        </w:rPr>
        <w:t>Exhibit A-1</w:t>
      </w:r>
    </w:p>
    <w:p>
      <w:pPr>
        <w:pStyle w:val="eeaopen"/>
        <w:spacing w:lineRule="auto" w:line="240"/>
        <w:ind w:hanging="1350" w:start="1350" w:end="0"/>
        <w:jc w:val="center"/>
        <w:rPr>
          <w:rFonts w:ascii="Arial" w:hAnsi="Arial" w:cs="Arial"/>
          <w:b/>
        </w:rPr>
      </w:pPr>
      <w:r>
        <w:rPr>
          <w:rFonts w:cs="Arial" w:ascii="Arial" w:hAnsi="Arial"/>
          <w:b/>
        </w:rPr>
        <w:t>Differences between EIA and AGA Underground Storage Capacity and Deliverability</w:t>
      </w:r>
    </w:p>
    <w:p>
      <w:pPr>
        <w:pStyle w:val="eeaopen"/>
        <w:spacing w:lineRule="auto" w:line="240"/>
        <w:ind w:hanging="1350" w:start="1350" w:end="0"/>
        <w:rPr>
          <w:rFonts w:ascii="Arial" w:hAnsi="Arial" w:cs="Arial"/>
          <w:b/>
        </w:rPr>
      </w:pPr>
      <w:r>
        <w:rPr>
          <w:rFonts w:cs="Arial" w:ascii="Arial" w:hAnsi="Arial"/>
          <w:b/>
        </w:rPr>
      </w:r>
    </w:p>
    <w:p>
      <w:pPr>
        <w:pStyle w:val="eeaopen"/>
        <w:numPr>
          <w:ilvl w:val="0"/>
          <w:numId w:val="0"/>
        </w:numPr>
        <w:spacing w:lineRule="auto" w:line="240"/>
        <w:ind w:hanging="1350" w:start="1350" w:end="0"/>
        <w:jc w:val="center"/>
        <w:rPr>
          <w:rFonts w:ascii="Arial" w:hAnsi="Arial" w:cs="Arial"/>
          <w:b/>
        </w:rPr>
      </w:pPr>
      <w:r>
        <w:rPr>
          <w:rFonts w:cs="Arial" w:ascii="Arial" w:hAnsi="Arial"/>
          <w:b/>
        </w:rPr>
        <w:drawing>
          <wp:anchor behindDoc="0" distT="0" distB="0" distL="114935" distR="114935" simplePos="0" locked="0" layoutInCell="0" allowOverlap="1" relativeHeight="36">
            <wp:simplePos x="0" y="0"/>
            <wp:positionH relativeFrom="column">
              <wp:posOffset>-365760</wp:posOffset>
            </wp:positionH>
            <wp:positionV relativeFrom="paragraph">
              <wp:posOffset>15240</wp:posOffset>
            </wp:positionV>
            <wp:extent cx="8961120" cy="5501640"/>
            <wp:effectExtent l="0" t="0" r="0" b="0"/>
            <wp:wrapTopAndBottom/>
            <wp:docPr id="2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 descr="" title=""/>
                    <pic:cNvPicPr>
                      <a:picLocks noChangeAspect="1" noChangeArrowheads="1"/>
                    </pic:cNvPicPr>
                  </pic:nvPicPr>
                  <pic:blipFill>
                    <a:blip r:embed="rId45"/>
                    <a:srcRect l="-4" t="-6" r="-4" b="-6"/>
                    <a:stretch>
                      <a:fillRect/>
                    </a:stretch>
                  </pic:blipFill>
                  <pic:spPr bwMode="auto">
                    <a:xfrm>
                      <a:off x="0" y="0"/>
                      <a:ext cx="8961120" cy="5501640"/>
                    </a:xfrm>
                    <a:prstGeom prst="rect">
                      <a:avLst/>
                    </a:prstGeom>
                    <a:noFill/>
                  </pic:spPr>
                </pic:pic>
              </a:graphicData>
            </a:graphic>
          </wp:anchor>
        </w:drawing>
      </w:r>
      <w:r>
        <w:br w:type="page"/>
      </w:r>
    </w:p>
    <w:p>
      <w:pPr>
        <w:pStyle w:val="eeaopen"/>
        <w:spacing w:lineRule="auto" w:line="240"/>
        <w:ind w:start="1350" w:end="0"/>
        <w:jc w:val="center"/>
        <w:rPr>
          <w:rFonts w:ascii="Arial" w:hAnsi="Arial" w:cs="Arial"/>
          <w:b/>
        </w:rPr>
      </w:pPr>
      <w:r>
        <w:rPr>
          <w:rFonts w:cs="Arial" w:ascii="Arial" w:hAnsi="Arial"/>
          <w:b/>
        </w:rPr>
        <w:t>Exhibit A-1 (Continued)</w:t>
      </w:r>
    </w:p>
    <w:p>
      <w:pPr>
        <w:pStyle w:val="eeaopen"/>
        <w:spacing w:lineRule="auto" w:line="240"/>
        <w:ind w:hanging="1350" w:start="1350" w:end="0"/>
        <w:jc w:val="center"/>
        <w:rPr>
          <w:rFonts w:ascii="Arial" w:hAnsi="Arial" w:cs="Arial"/>
          <w:b/>
        </w:rPr>
      </w:pPr>
      <w:r>
        <w:rPr>
          <w:rFonts w:cs="Arial" w:ascii="Arial" w:hAnsi="Arial"/>
          <w:b/>
        </w:rPr>
        <w:t>Differences between EIA and AGA Underground Storage Capacity and Deliverability</w:t>
      </w:r>
    </w:p>
    <w:p>
      <w:pPr>
        <w:pStyle w:val="eeaopen"/>
        <w:spacing w:lineRule="auto" w:line="240"/>
        <w:ind w:hanging="1350" w:start="1350" w:end="0"/>
        <w:rPr/>
      </w:pPr>
      <w:r>
        <w:drawing>
          <wp:anchor behindDoc="0" distT="0" distB="0" distL="114935" distR="114935" simplePos="0" locked="0" layoutInCell="0" allowOverlap="1" relativeHeight="37">
            <wp:simplePos x="0" y="0"/>
            <wp:positionH relativeFrom="column">
              <wp:posOffset>-365760</wp:posOffset>
            </wp:positionH>
            <wp:positionV relativeFrom="paragraph">
              <wp:posOffset>22860</wp:posOffset>
            </wp:positionV>
            <wp:extent cx="8961120" cy="5220335"/>
            <wp:effectExtent l="0" t="0" r="0" b="0"/>
            <wp:wrapTopAndBottom/>
            <wp:docPr id="2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 descr="" title=""/>
                    <pic:cNvPicPr>
                      <a:picLocks noChangeAspect="1" noChangeArrowheads="1"/>
                    </pic:cNvPicPr>
                  </pic:nvPicPr>
                  <pic:blipFill>
                    <a:blip r:embed="rId46"/>
                    <a:srcRect l="-4" t="-6" r="-4" b="-6"/>
                    <a:stretch>
                      <a:fillRect/>
                    </a:stretch>
                  </pic:blipFill>
                  <pic:spPr bwMode="auto">
                    <a:xfrm>
                      <a:off x="0" y="0"/>
                      <a:ext cx="8961120" cy="5220335"/>
                    </a:xfrm>
                    <a:prstGeom prst="rect">
                      <a:avLst/>
                    </a:prstGeom>
                    <a:noFill/>
                  </pic:spPr>
                </pic:pic>
              </a:graphicData>
            </a:graphic>
          </wp:anchor>
        </w:drawing>
      </w:r>
      <w:r>
        <w:rPr/>
        <w:t xml:space="preserve">Sources: </w:t>
        <w:tab/>
      </w:r>
      <w:r>
        <w:rPr>
          <w:sz w:val="12"/>
        </w:rPr>
        <w:t>EIA, “Deliverability on the Interstate Natural Gas Pipeline System”, May 1998.</w:t>
      </w:r>
    </w:p>
    <w:p>
      <w:pPr>
        <w:pStyle w:val="eeaopen"/>
        <w:spacing w:lineRule="auto" w:line="240" w:before="0" w:after="120"/>
        <w:ind w:firstLine="630" w:start="720" w:end="0"/>
        <w:rPr>
          <w:rFonts w:ascii="Arial" w:hAnsi="Arial" w:cs="Arial"/>
          <w:b/>
          <w:sz w:val="28"/>
        </w:rPr>
      </w:pPr>
      <w:r>
        <w:rPr>
          <w:sz w:val="12"/>
        </w:rPr>
        <w:t>AGA, Survey of Underground Storage in the US and Canada 1996</w:t>
      </w:r>
    </w:p>
    <w:p>
      <w:pPr>
        <w:pStyle w:val="eeaopen"/>
        <w:spacing w:lineRule="auto" w:line="240" w:before="0" w:after="120"/>
        <w:ind w:hanging="720" w:start="720" w:end="0"/>
        <w:rPr>
          <w:rFonts w:ascii="Arial" w:hAnsi="Arial" w:cs="Arial"/>
          <w:b/>
          <w:sz w:val="28"/>
        </w:rPr>
      </w:pPr>
      <w:r>
        <w:rPr>
          <w:rFonts w:cs="Arial" w:ascii="Arial" w:hAnsi="Arial"/>
          <w:b/>
          <w:sz w:val="28"/>
        </w:rPr>
      </w:r>
    </w:p>
    <w:p>
      <w:pPr>
        <w:pStyle w:val="eeaopen"/>
        <w:spacing w:lineRule="auto" w:line="240" w:before="0" w:after="120"/>
        <w:ind w:hanging="720" w:start="720" w:end="0"/>
        <w:rPr>
          <w:rFonts w:ascii="Arial" w:hAnsi="Arial" w:cs="Arial"/>
          <w:b/>
          <w:sz w:val="28"/>
        </w:rPr>
      </w:pPr>
      <w:r>
        <w:rPr>
          <w:rFonts w:cs="Arial" w:ascii="Arial" w:hAnsi="Arial"/>
          <w:b/>
          <w:sz w:val="28"/>
        </w:rPr>
      </w:r>
    </w:p>
    <w:p>
      <w:pPr>
        <w:pStyle w:val="Heading1"/>
        <w:ind w:hanging="0" w:start="0"/>
        <w:rPr/>
      </w:pPr>
      <w:r>
        <w:rPr/>
        <w:t>Appendix B:</w:t>
        <w:tab/>
        <w:t>Storage Facility Development and O&amp;M Costs for Selected Projects</w:t>
      </w:r>
    </w:p>
    <w:p>
      <w:pPr>
        <w:pStyle w:val="eeaopen"/>
        <w:spacing w:lineRule="auto" w:line="240" w:before="0" w:after="120"/>
        <w:rPr/>
      </w:pPr>
      <w:r>
        <w:rPr/>
      </w:r>
    </w:p>
    <w:p>
      <w:pPr>
        <w:pStyle w:val="eeaopen"/>
        <w:spacing w:lineRule="auto" w:line="240" w:before="0" w:after="120"/>
        <w:rPr/>
      </w:pPr>
      <w:r>
        <w:rPr/>
      </w:r>
    </w:p>
    <w:p>
      <w:pPr>
        <w:pStyle w:val="eeaopen"/>
        <w:spacing w:lineRule="auto" w:line="240" w:before="0" w:after="120"/>
        <w:rPr/>
      </w:pPr>
      <w:r>
        <w:rPr/>
      </w:r>
    </w:p>
    <w:p>
      <w:pPr>
        <w:pStyle w:val="eeaopen"/>
        <w:spacing w:lineRule="auto" w:line="240" w:before="0" w:after="120"/>
        <w:rPr/>
      </w:pPr>
      <w:r>
        <w:rPr/>
        <w:t>Detailed storage field project development cost profiles were developed for recent or proposed storage development projects using data filed with the FERC by the storage developers.  The storage projects include:</w:t>
      </w:r>
    </w:p>
    <w:p>
      <w:pPr>
        <w:pStyle w:val="ListBullet"/>
        <w:numPr>
          <w:ilvl w:val="0"/>
          <w:numId w:val="6"/>
        </w:numPr>
        <w:ind w:hanging="0" w:start="0"/>
        <w:rPr/>
      </w:pPr>
      <w:r>
        <w:rPr/>
        <w:t>Saltville Storage Project - a small salt cavern facility constructed in 1996 in Virginia.</w:t>
      </w:r>
    </w:p>
    <w:p>
      <w:pPr>
        <w:pStyle w:val="ListBullet"/>
        <w:numPr>
          <w:ilvl w:val="0"/>
          <w:numId w:val="6"/>
        </w:numPr>
        <w:ind w:hanging="0" w:start="0"/>
        <w:rPr/>
      </w:pPr>
      <w:r>
        <w:rPr/>
        <w:t>Young Storage Field Project - a depleted field located in Colorado that took its first deliveries in 1994 and will reach full capacity in 1999.</w:t>
      </w:r>
    </w:p>
    <w:p>
      <w:pPr>
        <w:pStyle w:val="ListBullet"/>
        <w:numPr>
          <w:ilvl w:val="0"/>
          <w:numId w:val="6"/>
        </w:numPr>
        <w:ind w:hanging="0" w:start="0"/>
        <w:rPr/>
      </w:pPr>
      <w:r>
        <w:rPr/>
        <w:t>Etowah LNG Storage Project - a planned full-cycle LNG facility offering 8-day peaking service in northwest Georgia scheduled to be available in 2001.</w:t>
      </w:r>
    </w:p>
    <w:p>
      <w:pPr>
        <w:pStyle w:val="eeaopen"/>
        <w:spacing w:lineRule="auto" w:line="240"/>
        <w:rPr/>
      </w:pPr>
      <w:r>
        <w:rPr/>
      </w:r>
    </w:p>
    <w:p>
      <w:pPr>
        <w:pStyle w:val="eeaopen"/>
        <w:spacing w:lineRule="auto" w:line="240"/>
        <w:rPr/>
      </w:pPr>
      <w:r>
        <w:rPr/>
        <w:t xml:space="preserve">The construction/expansion costs for these cost-based rate storage projects have been broken out by type of cost and are detailed in Exhibits B-1, B-2, and B-3.  Operation and maintenance costs, when available, have also been broken out by type.  The O&amp;M costs by type were not available for the Young Storage Field Project and Exhibit B-3 presents estimated O&amp;M costs based on national average data from existing facilities from FERC Form 2 data.  </w:t>
      </w:r>
    </w:p>
    <w:p>
      <w:pPr>
        <w:pStyle w:val="eeaopen"/>
        <w:spacing w:lineRule="auto" w:line="240"/>
        <w:rPr>
          <w:b/>
        </w:rPr>
      </w:pPr>
      <w:r>
        <w:rPr>
          <w:b/>
        </w:rPr>
      </w:r>
    </w:p>
    <w:p>
      <w:pPr>
        <w:pStyle w:val="eeaopen"/>
        <w:numPr>
          <w:ilvl w:val="0"/>
          <w:numId w:val="0"/>
        </w:numPr>
        <w:spacing w:lineRule="auto" w:line="240"/>
        <w:rPr>
          <w:b/>
        </w:rPr>
      </w:pPr>
      <w:r>
        <w:rPr>
          <w:b/>
        </w:rPr>
        <w:object w:dxaOrig="9778" w:dyaOrig="11648">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position:absolute;margin-left:0pt;margin-top:-13pt;width:488.9pt;height:582.4pt;mso-wrap-distance-left:9.05pt;mso-wrap-distance-right:9.05pt;mso-position-horizontal-relative:text;mso-position-vertical-relative:text" filled="f" o:ole="">
            <v:imagedata r:id="rId48" o:title=""/>
            <w10:wrap type="topAndBottom"/>
          </v:shape>
          <o:OLEObject Type="Embed" ProgID="" ShapeID="ole_rId47" DrawAspect="Content" ObjectID="_953209443" r:id="rId47"/>
        </w:object>
      </w:r>
      <w:r>
        <w:br w:type="page"/>
      </w:r>
    </w:p>
    <w:p>
      <w:pPr>
        <w:pStyle w:val="eeaopen"/>
        <w:spacing w:lineRule="auto" w:line="240"/>
        <w:rPr>
          <w:b/>
          <w:lang w:val="en-CA" w:eastAsia="en-CA"/>
        </w:rPr>
      </w:pPr>
      <w:r>
        <w:rPr>
          <w:b/>
          <w:lang w:val="en-CA" w:eastAsia="en-CA"/>
        </w:rPr>
        <w:object w:dxaOrig="10354" w:dyaOrig="12507">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position:absolute;margin-left:-14.4pt;margin-top:27.6pt;width:517.7pt;height:625.35pt;mso-wrap-distance-left:9.05pt;mso-wrap-distance-right:9.05pt;mso-position-horizontal-relative:text;mso-position-vertical-relative:text" filled="f" o:ole="">
            <v:imagedata r:id="rId50" o:title=""/>
            <w10:wrap type="topAndBottom"/>
          </v:shape>
          <o:OLEObject Type="Embed" ProgID="" ShapeID="ole_rId49" DrawAspect="Content" ObjectID="_2115994999" r:id="rId49"/>
        </w:object>
      </w:r>
    </w:p>
    <w:p>
      <w:pPr>
        <w:pStyle w:val="eeaopen"/>
        <w:spacing w:lineRule="auto" w:line="240"/>
        <w:rPr>
          <w:b/>
        </w:rPr>
      </w:pPr>
      <w:r>
        <w:rPr>
          <w:b/>
        </w:rPr>
      </w:r>
      <w:r>
        <w:br w:type="page"/>
      </w:r>
    </w:p>
    <w:p>
      <w:pPr>
        <w:pStyle w:val="eeaopen"/>
        <w:spacing w:lineRule="auto" w:line="240"/>
        <w:rPr>
          <w:b/>
          <w:sz w:val="8"/>
        </w:rPr>
      </w:pPr>
      <w:r>
        <w:rPr>
          <w:b/>
          <w:sz w:val="8"/>
        </w:rPr>
      </w:r>
    </w:p>
    <w:p>
      <w:pPr>
        <w:sectPr>
          <w:footerReference w:type="default" r:id="rId53"/>
          <w:footnotePr>
            <w:numFmt w:val="decimal"/>
          </w:footnotePr>
          <w:type w:val="nextPage"/>
          <w:pgSz w:w="12240" w:h="15840"/>
          <w:pgMar w:left="1440" w:right="1440" w:gutter="0" w:header="0" w:top="1440" w:footer="360" w:bottom="1440"/>
          <w:pgNumType w:fmt="decimal"/>
          <w:formProt w:val="false"/>
          <w:textDirection w:val="lrTb"/>
          <w:docGrid w:type="default" w:linePitch="360" w:charSpace="0"/>
        </w:sectPr>
        <w:pStyle w:val="Normal"/>
        <w:numPr>
          <w:ilvl w:val="0"/>
          <w:numId w:val="0"/>
        </w:numPr>
        <w:rPr>
          <w:b/>
          <w:sz w:val="8"/>
        </w:rPr>
      </w:pPr>
      <w:r>
        <w:rPr>
          <w:b/>
          <w:sz w:val="8"/>
        </w:rPr>
        <w:object w:dxaOrig="10354" w:dyaOrig="12403">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position:absolute;margin-left:-36pt;margin-top:-19pt;width:517.7pt;height:620.15pt;mso-wrap-distance-left:9.05pt;mso-wrap-distance-right:9.05pt;mso-position-horizontal-relative:text;mso-position-vertical-relative:text" filled="f" o:ole="">
            <v:imagedata r:id="rId52" o:title=""/>
            <w10:wrap type="topAndBottom"/>
          </v:shape>
          <o:OLEObject Type="Embed" ProgID="" ShapeID="ole_rId51" DrawAspect="Content" ObjectID="_518689692" r:id="rId51"/>
        </w:object>
      </w:r>
    </w:p>
    <w:p>
      <w:pPr>
        <w:pStyle w:val="Normal"/>
        <w:tabs>
          <w:tab w:val="clear" w:pos="720"/>
          <w:tab w:val="left" w:pos="630" w:leader="none"/>
        </w:tabs>
        <w:rPr>
          <w:rFonts w:ascii="Arial" w:hAnsi="Arial" w:cs="Arial"/>
          <w:b/>
          <w:sz w:val="28"/>
        </w:rPr>
      </w:pPr>
      <w:r>
        <w:rPr>
          <w:rFonts w:cs="Arial" w:ascii="Arial" w:hAnsi="Arial"/>
          <w:b/>
          <w:sz w:val="28"/>
        </w:rPr>
      </w:r>
    </w:p>
    <w:p>
      <w:pPr>
        <w:pStyle w:val="Normal"/>
        <w:tabs>
          <w:tab w:val="clear" w:pos="720"/>
          <w:tab w:val="left" w:pos="630" w:leader="none"/>
        </w:tabs>
        <w:rPr>
          <w:rFonts w:ascii="Arial" w:hAnsi="Arial" w:cs="Arial"/>
          <w:b/>
          <w:sz w:val="28"/>
        </w:rPr>
      </w:pPr>
      <w:r>
        <w:rPr>
          <w:rFonts w:cs="Arial" w:ascii="Arial" w:hAnsi="Arial"/>
          <w:b/>
          <w:sz w:val="28"/>
        </w:rPr>
      </w:r>
    </w:p>
    <w:p>
      <w:pPr>
        <w:pStyle w:val="Heading1"/>
        <w:ind w:hanging="0" w:start="0"/>
        <w:rPr/>
      </w:pPr>
      <w:r>
        <w:rPr/>
        <w:t>Appendix C:</w:t>
        <w:tab/>
        <w:t>Derivation of Annual Cost of Service and Cost-Based Storage Rates</w:t>
      </w:r>
    </w:p>
    <w:p>
      <w:pPr>
        <w:pStyle w:val="eeaopen"/>
        <w:spacing w:lineRule="auto" w:line="240"/>
        <w:rPr/>
      </w:pPr>
      <w:r>
        <w:rPr/>
      </w:r>
    </w:p>
    <w:p>
      <w:pPr>
        <w:pStyle w:val="eeaopen"/>
        <w:spacing w:lineRule="auto" w:line="240"/>
        <w:rPr/>
      </w:pPr>
      <w:r>
        <w:rPr/>
      </w:r>
    </w:p>
    <w:p>
      <w:pPr>
        <w:pStyle w:val="eeaopen"/>
        <w:spacing w:lineRule="auto" w:line="240"/>
        <w:rPr/>
      </w:pPr>
      <w:r>
        <w:rPr/>
      </w:r>
    </w:p>
    <w:p>
      <w:pPr>
        <w:pStyle w:val="eeaopen"/>
        <w:spacing w:lineRule="auto" w:line="240"/>
        <w:rPr/>
      </w:pPr>
      <w:r>
        <w:rPr/>
        <w:t>Under traditional cost-based rate tariffs, the maximum tariff rate is determined by the facilities annual cost of service.  The annual cost of service allows for full recovery of original construction cost, with a set rate of return on equity investment, as well as the annual operation and maintenance costs.  FERC has begun to grant storage operators the right to charge market based rates for their services if the storage provider can demonstrate that they can not exercise market power.</w:t>
      </w:r>
      <w:r>
        <w:rPr>
          <w:rStyle w:val="FootnoteCharacters"/>
          <w:rStyle w:val="FootnoteReference"/>
        </w:rPr>
        <w:footnoteReference w:id="12"/>
      </w:r>
      <w:r>
        <w:rPr/>
        <w:t xml:space="preserve">  Storage project cost data is withheld from public release for these market-rate based projects.  </w:t>
      </w:r>
    </w:p>
    <w:p>
      <w:pPr>
        <w:pStyle w:val="eeaopen"/>
        <w:spacing w:lineRule="auto" w:line="240"/>
        <w:rPr/>
      </w:pPr>
      <w:r>
        <w:rPr/>
      </w:r>
    </w:p>
    <w:p>
      <w:pPr>
        <w:pStyle w:val="eeaopen"/>
        <w:spacing w:lineRule="auto" w:line="240"/>
        <w:rPr/>
      </w:pPr>
      <w:r>
        <w:rPr/>
        <w:t>Cost-based storage tariffs are calculated by allocating the annual cost of storage to the different components of the storage services offered on a volumetric basis.  Exhibit C-1 uses data for the Saltville Storage project to illustrate the derivation of cost-based storage tariffs.  The general form of the rate derivations is as follows:</w:t>
      </w:r>
    </w:p>
    <w:p>
      <w:pPr>
        <w:pStyle w:val="eeaopen"/>
        <w:spacing w:lineRule="auto" w:line="240"/>
        <w:rPr/>
      </w:pPr>
      <w:r>
        <w:rPr/>
      </w:r>
    </w:p>
    <w:p>
      <w:pPr>
        <w:pStyle w:val="eeaopen"/>
        <w:spacing w:lineRule="auto" w:line="240" w:before="0" w:after="120"/>
        <w:rPr/>
      </w:pPr>
      <w:r>
        <w:rPr/>
        <w:t>The</w:t>
      </w:r>
      <w:r>
        <w:rPr>
          <w:b/>
        </w:rPr>
        <w:t xml:space="preserve"> Annual Cost of Service</w:t>
      </w:r>
      <w:r>
        <w:rPr/>
        <w:t xml:space="preserve"> </w:t>
      </w:r>
      <w:r>
        <w:rPr>
          <w:b/>
        </w:rPr>
        <w:t>(1E)</w:t>
      </w:r>
      <w:r>
        <w:rPr/>
        <w:t xml:space="preserve"> is the sum of the following four components:</w:t>
      </w:r>
    </w:p>
    <w:p>
      <w:pPr>
        <w:pStyle w:val="ListNumber"/>
        <w:numPr>
          <w:ilvl w:val="0"/>
          <w:numId w:val="12"/>
        </w:numPr>
        <w:ind w:hanging="0" w:start="0"/>
        <w:rPr/>
      </w:pPr>
      <w:r>
        <w:rPr>
          <w:b/>
        </w:rPr>
        <w:t>Annual Depreciation and Debt Issuance Expense Amortization (1A) -</w:t>
      </w:r>
      <w:r>
        <w:rPr/>
        <w:t xml:space="preserve"> </w:t>
      </w:r>
      <w:r>
        <w:rPr>
          <w:b/>
        </w:rPr>
        <w:t>Depreciation</w:t>
      </w:r>
      <w:r>
        <w:rPr/>
        <w:t xml:space="preserve"> allows for recovery of the total cost of constructing the storage facility over the life of the field.  The cost of base gas can not be depreciated.  New fields are generally depreciated over a 30 year period.  </w:t>
      </w:r>
      <w:r>
        <w:rPr>
          <w:b/>
        </w:rPr>
        <w:t>Debt Issuance Expense Amortization</w:t>
      </w:r>
      <w:r>
        <w:rPr/>
        <w:t xml:space="preserve"> allows for the recovery of the cost of securing debt financing for the project.</w:t>
      </w:r>
    </w:p>
    <w:p>
      <w:pPr>
        <w:pStyle w:val="ListNumber"/>
        <w:numPr>
          <w:ilvl w:val="0"/>
          <w:numId w:val="5"/>
        </w:numPr>
        <w:ind w:hanging="0" w:start="0"/>
        <w:rPr/>
      </w:pPr>
      <w:r>
        <w:rPr>
          <w:b/>
        </w:rPr>
        <w:t xml:space="preserve">Annual Operation and Maintenance and General and Administrative Costs (1B) </w:t>
      </w:r>
      <w:r>
        <w:rPr/>
        <w:t>- reflects the annual cost to run, maintain and administer the storage field.</w:t>
      </w:r>
    </w:p>
    <w:p>
      <w:pPr>
        <w:pStyle w:val="ListNumber"/>
        <w:numPr>
          <w:ilvl w:val="0"/>
          <w:numId w:val="5"/>
        </w:numPr>
        <w:ind w:hanging="0" w:start="0"/>
        <w:rPr/>
      </w:pPr>
      <w:r>
        <w:rPr>
          <w:b/>
        </w:rPr>
        <w:t xml:space="preserve">Federal, State and Local Taxes (1C) </w:t>
      </w:r>
      <w:r>
        <w:rPr/>
        <w:t xml:space="preserve">- allows for recovery of all Federal income tax as well as all applicable state and local income, property and other taxes. </w:t>
      </w:r>
    </w:p>
    <w:p>
      <w:pPr>
        <w:pStyle w:val="ListNumber"/>
        <w:numPr>
          <w:ilvl w:val="0"/>
          <w:numId w:val="5"/>
        </w:numPr>
        <w:ind w:hanging="0" w:start="0"/>
        <w:rPr/>
      </w:pPr>
      <w:r>
        <w:rPr>
          <w:b/>
        </w:rPr>
        <w:t xml:space="preserve">Return on Investment (1D) </w:t>
      </w:r>
      <w:r>
        <w:rPr/>
        <w:t>- allows for recovery of debt interest expense and a return on the equity portion of the investment at a FERC approved rate of return.</w:t>
      </w:r>
    </w:p>
    <w:p>
      <w:pPr>
        <w:pStyle w:val="eeaopen"/>
        <w:spacing w:lineRule="auto" w:line="240"/>
        <w:rPr/>
      </w:pPr>
      <w:r>
        <w:rPr/>
      </w:r>
    </w:p>
    <w:p>
      <w:pPr>
        <w:pStyle w:val="eeaopen"/>
        <w:spacing w:lineRule="auto" w:line="240" w:before="0" w:after="120"/>
        <w:rPr/>
      </w:pPr>
      <w:r>
        <w:rPr/>
        <w:t>Calculation of Storage Rates (2) consists of three steps:</w:t>
      </w:r>
    </w:p>
    <w:p>
      <w:pPr>
        <w:pStyle w:val="ListNumber"/>
        <w:numPr>
          <w:ilvl w:val="0"/>
          <w:numId w:val="13"/>
        </w:numPr>
        <w:ind w:hanging="0" w:start="0"/>
        <w:rPr/>
      </w:pPr>
      <w:r>
        <w:rPr>
          <w:b/>
        </w:rPr>
        <w:t>Allocation of Storage Capacity to Rate Class</w:t>
      </w:r>
      <w:r>
        <w:rPr/>
        <w:t xml:space="preserve"> </w:t>
      </w:r>
      <w:r>
        <w:rPr>
          <w:b/>
        </w:rPr>
        <w:t>(2A)</w:t>
      </w:r>
      <w:r>
        <w:rPr/>
        <w:t xml:space="preserve"> - the total physical storage and deliverability capacity must be allocated to all firm storage rate classes.  The allocation of capacity is done at the storage provider’s discretion.   The deliverability capacity for each rate class must be sufficient to allow for the complete withdrawal of allocated storage capacity for that rate class.  Likewise, the rate class’s injection/withdrawal volumes must be sufficient to fill the allocated storage space.  </w:t>
      </w:r>
    </w:p>
    <w:p>
      <w:pPr>
        <w:pStyle w:val="ListNumber"/>
        <w:numPr>
          <w:ilvl w:val="0"/>
          <w:numId w:val="0"/>
        </w:numPr>
        <w:ind w:hanging="0" w:start="0"/>
        <w:rPr/>
      </w:pPr>
      <w:r>
        <w:rPr/>
      </w:r>
    </w:p>
    <w:p>
      <w:pPr>
        <w:pStyle w:val="ListNumber"/>
        <w:numPr>
          <w:ilvl w:val="0"/>
          <w:numId w:val="5"/>
        </w:numPr>
        <w:ind w:hanging="0" w:start="0"/>
        <w:rPr/>
      </w:pPr>
      <w:r>
        <w:rPr>
          <w:b/>
        </w:rPr>
        <w:t>Allocation of Cost of Service to Rate Class</w:t>
      </w:r>
      <w:r>
        <w:rPr/>
        <w:t xml:space="preserve"> </w:t>
      </w:r>
      <w:r>
        <w:rPr>
          <w:b/>
        </w:rPr>
        <w:t>(2B)</w:t>
      </w:r>
      <w:r>
        <w:rPr/>
        <w:t xml:space="preserve"> - the total cost of service is a two step process.  First, the annual cost of service (1E) is broken into fixed and variable cost of service components and allocated between deliverability, capacity and injection/withdrawal.  Typically, a portion of the fixed costs are allocated to deliverability with the remainder being allocated to capacity.  Variable costs are allocated to injection/withdrawal charges. Second, the deliverability and capacity costs, from the first step, are allocated to each tariff class based on the allocation of deliverability and storage capacity (2A) to each tariff class.  Injection and withdrawal costs are allocated between rate classes based on gas throughput.</w:t>
      </w:r>
    </w:p>
    <w:p>
      <w:pPr>
        <w:pStyle w:val="ListNumber"/>
        <w:numPr>
          <w:ilvl w:val="0"/>
          <w:numId w:val="0"/>
        </w:numPr>
        <w:ind w:hanging="0" w:start="0"/>
        <w:rPr/>
      </w:pPr>
      <w:r>
        <w:rPr/>
      </w:r>
    </w:p>
    <w:p>
      <w:pPr>
        <w:pStyle w:val="ListNumber"/>
        <w:numPr>
          <w:ilvl w:val="0"/>
          <w:numId w:val="5"/>
        </w:numPr>
        <w:ind w:hanging="0" w:start="0"/>
        <w:rPr/>
      </w:pPr>
      <w:r>
        <w:rPr>
          <w:b/>
        </w:rPr>
        <w:t>Calculation of Storage Rate Components (2C) - t</w:t>
      </w:r>
      <w:r>
        <w:rPr/>
        <w:t>he different components of storage rates are calculated using the allocated storage capacity and the cost of service allocations:</w:t>
      </w:r>
    </w:p>
    <w:p>
      <w:pPr>
        <w:pStyle w:val="ListBullet2"/>
        <w:numPr>
          <w:ilvl w:val="0"/>
          <w:numId w:val="4"/>
        </w:numPr>
        <w:ind w:hanging="0" w:start="0"/>
        <w:rPr/>
      </w:pPr>
      <w:r>
        <w:rPr/>
        <w:t xml:space="preserve">Deliverability Charges are calculated for each tariff class by dividing the deliverability cost of service allocated to the tariff class (2A) by the total deliverability capacity allocated to the tariff class (2B).  Monthly charges can be calculated by dividing this result by 12.  </w:t>
      </w:r>
    </w:p>
    <w:p>
      <w:pPr>
        <w:pStyle w:val="ListBullet2"/>
        <w:numPr>
          <w:ilvl w:val="0"/>
          <w:numId w:val="4"/>
        </w:numPr>
        <w:ind w:hanging="0" w:start="0"/>
        <w:rPr/>
      </w:pPr>
      <w:r>
        <w:rPr/>
        <w:t>Capacity Charges for each tariff class are calculated by dividing the capacity cost of service allocation (2A) by the total storage capacity allocation for each tariff class (2B).  Monthly charges can be calculated by dividing this result by 12.</w:t>
      </w:r>
    </w:p>
    <w:p>
      <w:pPr>
        <w:pStyle w:val="ListBullet2"/>
        <w:numPr>
          <w:ilvl w:val="0"/>
          <w:numId w:val="4"/>
        </w:numPr>
        <w:ind w:hanging="0" w:start="0"/>
        <w:rPr/>
      </w:pPr>
      <w:r>
        <w:rPr/>
        <w:t xml:space="preserve">Injection/Withdrawal Fees - are calculated by dividing the tariff class’s injection/withdrawal cost of service allocation (2A) by the total injection/withdrawal cost throughput for the tariff class (2B). </w:t>
      </w:r>
    </w:p>
    <w:p>
      <w:pPr>
        <w:pStyle w:val="Normal"/>
        <w:rPr>
          <w:lang w:val="en-CA"/>
        </w:rPr>
      </w:pPr>
      <w:r>
        <w:rPr>
          <w:lang w:val="en-CA"/>
        </w:rPr>
        <w:object w:dxaOrig="10339" w:dyaOrig="12236">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position:absolute;margin-left:-14.4pt;margin-top:0pt;width:516.95pt;height:611.8pt;mso-wrap-distance-left:9.05pt;mso-wrap-distance-right:9.05pt;mso-position-horizontal-relative:text;mso-position-vertical-relative:text" filled="f" o:ole="">
            <v:imagedata r:id="rId55" o:title=""/>
            <w10:wrap type="topAndBottom"/>
          </v:shape>
          <o:OLEObject Type="Embed" ProgID="" ShapeID="ole_rId54" DrawAspect="Content" ObjectID="_954478052" r:id="rId54"/>
        </w:object>
      </w:r>
    </w:p>
    <w:p>
      <w:pPr>
        <w:pStyle w:val="Normal"/>
        <w:rPr/>
      </w:pPr>
      <w:r>
        <w:rPr/>
      </w:r>
    </w:p>
    <w:p>
      <w:pPr>
        <w:pStyle w:val="Heading1"/>
        <w:ind w:hanging="0" w:start="0"/>
        <w:rPr/>
      </w:pPr>
      <w:r>
        <w:rPr/>
        <w:t>References</w:t>
      </w:r>
    </w:p>
    <w:p>
      <w:pPr>
        <w:pStyle w:val="Normal"/>
        <w:rPr/>
      </w:pPr>
      <w:r>
        <w:rPr/>
      </w:r>
    </w:p>
    <w:p>
      <w:pPr>
        <w:pStyle w:val="Normal"/>
        <w:rPr/>
      </w:pPr>
      <w:r>
        <w:rPr/>
      </w:r>
    </w:p>
    <w:p>
      <w:pPr>
        <w:pStyle w:val="Normal"/>
        <w:rPr/>
      </w:pPr>
      <w:r>
        <w:rPr/>
      </w:r>
    </w:p>
    <w:p>
      <w:pPr>
        <w:pStyle w:val="Normal"/>
        <w:spacing w:before="0" w:after="240"/>
        <w:rPr/>
      </w:pPr>
      <w:r>
        <w:rPr/>
        <w:t xml:space="preserve">American Gas Association, AGA Survey of Underground Storage in the US and Canada 1996. </w:t>
      </w:r>
    </w:p>
    <w:p>
      <w:pPr>
        <w:pStyle w:val="eeaopen"/>
        <w:spacing w:lineRule="auto" w:line="240" w:before="0" w:after="240"/>
        <w:rPr>
          <w:lang w:eastAsia="en-CA"/>
        </w:rPr>
      </w:pPr>
      <w:r>
        <w:rPr>
          <w:lang w:eastAsia="en-CA"/>
        </w:rPr>
        <w:t xml:space="preserve">American Gas Association, AGA Weekly Gas Storage Survey. </w:t>
      </w:r>
    </w:p>
    <w:p>
      <w:pPr>
        <w:pStyle w:val="eeaopen"/>
        <w:spacing w:lineRule="auto" w:line="240" w:before="0" w:after="240"/>
        <w:rPr/>
      </w:pPr>
      <w:r>
        <w:rPr/>
        <w:t xml:space="preserve">American Gas Association, </w:t>
      </w:r>
      <w:r>
        <w:rPr>
          <w:u w:val="single"/>
        </w:rPr>
        <w:t>Gas Facts:  A Statistical Record of the Gas Industry</w:t>
      </w:r>
      <w:r>
        <w:rPr/>
        <w:t>, Annual.</w:t>
      </w:r>
    </w:p>
    <w:p>
      <w:pPr>
        <w:pStyle w:val="Normal"/>
        <w:spacing w:before="0" w:after="240"/>
        <w:rPr/>
      </w:pPr>
      <w:r>
        <w:rPr/>
        <w:t xml:space="preserve">Energy Information Administration, EIAGIS - The Energy Information Agency (EIA) Gas Information System. </w:t>
      </w:r>
    </w:p>
    <w:p>
      <w:pPr>
        <w:pStyle w:val="eeaopen"/>
        <w:spacing w:lineRule="auto" w:line="240" w:before="0" w:after="240"/>
        <w:rPr/>
      </w:pPr>
      <w:r>
        <w:rPr/>
        <w:t xml:space="preserve">Energy Information Administration, </w:t>
      </w:r>
      <w:r>
        <w:rPr>
          <w:u w:val="single"/>
        </w:rPr>
        <w:t>Deliverability on the Interstate Natural Gas Pipeline System</w:t>
      </w:r>
      <w:r>
        <w:rPr/>
        <w:t>, DOE/EIA-00618(98), May 1998.</w:t>
      </w:r>
    </w:p>
    <w:p>
      <w:pPr>
        <w:pStyle w:val="eeaopen"/>
        <w:spacing w:lineRule="auto" w:line="240" w:before="0" w:after="240"/>
        <w:rPr/>
      </w:pPr>
      <w:r>
        <w:rPr/>
        <w:t xml:space="preserve">Energy Information Administration, </w:t>
      </w:r>
      <w:r>
        <w:rPr>
          <w:u w:val="single"/>
        </w:rPr>
        <w:t>The Value of Underground Storage in Today’s Natural Gas Industry</w:t>
      </w:r>
      <w:r>
        <w:rPr/>
        <w:t>, DOE/EIA-0591, March 1995</w:t>
      </w:r>
    </w:p>
    <w:p>
      <w:pPr>
        <w:pStyle w:val="eeaopen"/>
        <w:spacing w:lineRule="auto" w:line="240" w:before="0" w:after="240"/>
        <w:rPr/>
      </w:pPr>
      <w:r>
        <w:rPr/>
        <w:t>Energy Information Administration, Form  EIA-176, “Annual Report of Natural and Supplemental Gas Supply and Disposition.”</w:t>
      </w:r>
    </w:p>
    <w:p>
      <w:pPr>
        <w:pStyle w:val="eeaopen"/>
        <w:spacing w:lineRule="auto" w:line="240" w:before="0" w:after="240"/>
        <w:rPr/>
      </w:pPr>
      <w:r>
        <w:rPr/>
        <w:t xml:space="preserve">Energy Information Administration, </w:t>
      </w:r>
      <w:r>
        <w:rPr>
          <w:u w:val="single"/>
        </w:rPr>
        <w:t>Natural Gas Annual 1998</w:t>
      </w:r>
      <w:r>
        <w:rPr/>
        <w:t>, DOE/EIA-0131(98), October 1999.</w:t>
      </w:r>
    </w:p>
    <w:p>
      <w:pPr>
        <w:pStyle w:val="eeaopen"/>
        <w:spacing w:lineRule="auto" w:line="240" w:before="0" w:after="240"/>
        <w:rPr/>
      </w:pPr>
      <w:r>
        <w:rPr/>
        <w:t xml:space="preserve">Energy Information Administration, </w:t>
      </w:r>
      <w:r>
        <w:rPr>
          <w:u w:val="single"/>
        </w:rPr>
        <w:t>Annual Energy Review 1999</w:t>
      </w:r>
      <w:r>
        <w:rPr/>
        <w:t>, DOE/EIA-0131(98), October 1999.</w:t>
      </w:r>
    </w:p>
    <w:p>
      <w:pPr>
        <w:pStyle w:val="Normal"/>
        <w:spacing w:before="0" w:after="240"/>
        <w:rPr/>
      </w:pPr>
      <w:r>
        <w:rPr/>
        <w:t>FERC Applications for Public Convenience and Necessity, Filed by various pipelines and storage developers regulated by the FERC, 1996 - 1998.</w:t>
      </w:r>
    </w:p>
    <w:p>
      <w:pPr>
        <w:pStyle w:val="eeaopen"/>
        <w:spacing w:lineRule="auto" w:line="240" w:before="0" w:after="240"/>
        <w:rPr>
          <w:lang w:eastAsia="en-CA"/>
        </w:rPr>
      </w:pPr>
      <w:r>
        <w:rPr>
          <w:lang w:eastAsia="en-CA"/>
        </w:rPr>
        <w:t>FERC Form 2, Filed by various storage providers regulated by the FERC, 1997.</w:t>
      </w:r>
    </w:p>
    <w:p>
      <w:pPr>
        <w:pStyle w:val="Normal"/>
        <w:spacing w:before="0" w:after="240"/>
        <w:rPr/>
      </w:pPr>
      <w:r>
        <w:rPr/>
        <w:t>FERC Form 2-A, Filed by various storage providers regulated by the FERC, 1997.</w:t>
      </w:r>
    </w:p>
    <w:p>
      <w:pPr>
        <w:pStyle w:val="Normal"/>
        <w:spacing w:before="0" w:after="240"/>
        <w:rPr/>
      </w:pPr>
      <w:r>
        <w:rPr/>
        <w:t xml:space="preserve">GRI, </w:t>
      </w:r>
      <w:r>
        <w:rPr>
          <w:u w:val="single"/>
        </w:rPr>
        <w:t>Pipeline Markets in Transition: Cost Impacts of FERC Order 636</w:t>
      </w:r>
      <w:r>
        <w:rPr/>
        <w:t>, Document No. GRI-97/0374, March 1998.</w:t>
      </w:r>
    </w:p>
    <w:p>
      <w:pPr>
        <w:pStyle w:val="Normal"/>
        <w:spacing w:before="0" w:after="240"/>
        <w:rPr/>
      </w:pPr>
      <w:r>
        <w:rPr/>
        <w:t xml:space="preserve">GRI, </w:t>
      </w:r>
      <w:r>
        <w:rPr>
          <w:u w:val="single"/>
        </w:rPr>
        <w:t>Short Term Gas Prices: How the Market Adjusts to Changing Fundamentals</w:t>
      </w:r>
      <w:r>
        <w:rPr/>
        <w:t>, Document No. GRI-97/0375, July 1998.</w:t>
      </w:r>
    </w:p>
    <w:p>
      <w:pPr>
        <w:pStyle w:val="Normal"/>
        <w:spacing w:before="0" w:after="240"/>
        <w:rPr/>
      </w:pPr>
      <w:r>
        <w:rPr/>
        <w:t xml:space="preserve">GRI, </w:t>
      </w:r>
      <w:r>
        <w:rPr>
          <w:u w:val="single"/>
        </w:rPr>
        <w:t>Gas Research Insights:  U.S. Gas Transportation Trends:  1998 Edition of the GRI Baseline Projection of U.S. Energy Supply and Demand to 2015</w:t>
      </w:r>
      <w:r>
        <w:rPr/>
        <w:t>, Document No. GRI-98/0004, March 1999.</w:t>
      </w:r>
    </w:p>
    <w:p>
      <w:pPr>
        <w:pStyle w:val="Normal"/>
        <w:spacing w:before="0" w:after="240"/>
        <w:rPr/>
      </w:pPr>
      <w:r>
        <w:rPr/>
        <w:t xml:space="preserve">GRI, </w:t>
      </w:r>
      <w:r>
        <w:rPr>
          <w:u w:val="single"/>
        </w:rPr>
        <w:t>Baseline Projection Data Book – 2000 Edition</w:t>
      </w:r>
      <w:r>
        <w:rPr/>
        <w:t>, Document No. GRI-00/0002.1, January 2000.</w:t>
      </w:r>
    </w:p>
    <w:p>
      <w:pPr>
        <w:pStyle w:val="eeaopen"/>
        <w:spacing w:lineRule="auto" w:line="240" w:before="0" w:after="240"/>
        <w:rPr/>
      </w:pPr>
      <w:r>
        <w:rPr/>
        <w:t>James M. Thompson, “U.S. Underground Storage of Natural Gas in 1997: Existing and Proposed,” Natural Gas Monthly, DOE/EIA-0130(97/09), September 1997.</w:t>
      </w:r>
    </w:p>
    <w:p>
      <w:pPr>
        <w:pStyle w:val="eeaopen"/>
        <w:spacing w:lineRule="auto" w:line="240" w:before="0" w:after="240"/>
        <w:rPr/>
      </w:pPr>
      <w:r>
        <w:rPr/>
        <w:t>Robert Crawford and Mark Breese (Energy &amp; Environmental Analysis, Inc), “The Seasonal Demand and Delivery System for Natural Gas in the Lower-48 United States,” Topical Report for GRI, Document No. GRI-92/0475, November 1993.</w:t>
      </w:r>
    </w:p>
    <w:p>
      <w:pPr>
        <w:pStyle w:val="eeaopen"/>
        <w:spacing w:lineRule="auto" w:line="240"/>
        <w:rPr/>
      </w:pPr>
      <w:r>
        <w:rPr/>
        <w:t>The New England Gas Association</w:t>
      </w:r>
      <w:r>
        <w:rPr>
          <w:u w:val="single"/>
        </w:rPr>
        <w:t>, Gas Supply Information for the New England Gas Industry</w:t>
      </w:r>
    </w:p>
    <w:sectPr>
      <w:footerReference w:type="default" r:id="rId56"/>
      <w:footerReference w:type="first" r:id="rId57"/>
      <w:footnotePr>
        <w:numFmt w:val="decimal"/>
      </w:footnotePr>
      <w:type w:val="nextPage"/>
      <w:pgSz w:w="12240" w:h="15840"/>
      <w:pgMar w:left="1440" w:right="1440" w:gutter="0" w:header="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 xml:space="preserve">GRI, </w:t>
      </w:r>
      <w:r>
        <w:rPr>
          <w:u w:val="single"/>
        </w:rPr>
        <w:t>Baseline Projection Data Book – 2000 Edition</w:t>
      </w:r>
      <w:r>
        <w:rPr/>
        <w:t>, Document No. GRI-00/0002.1, January 2000.</w:t>
      </w:r>
    </w:p>
  </w:footnote>
  <w:footnote w:id="3">
    <w:p>
      <w:pPr>
        <w:pStyle w:val="FootnoteText"/>
        <w:ind w:hanging="360" w:start="360" w:end="0"/>
        <w:rPr/>
      </w:pPr>
      <w:r>
        <w:rPr>
          <w:rStyle w:val="FootnoteCharacters"/>
        </w:rPr>
        <w:footnoteRef/>
      </w:r>
      <w:r>
        <w:rPr/>
        <w:tab/>
        <w:t xml:space="preserve">GRI, </w:t>
      </w:r>
      <w:r>
        <w:rPr>
          <w:u w:val="single"/>
        </w:rPr>
        <w:t>Pipeline Markets in Transition: Cost Impacts of FERC Order 636</w:t>
      </w:r>
      <w:r>
        <w:rPr/>
        <w:t>, Topical Report GRI-97/0374, March 1998.</w:t>
      </w:r>
    </w:p>
  </w:footnote>
  <w:footnote w:id="4">
    <w:p>
      <w:pPr>
        <w:pStyle w:val="FootnoteText"/>
        <w:tabs>
          <w:tab w:val="clear" w:pos="720"/>
          <w:tab w:val="left" w:pos="360" w:leader="none"/>
        </w:tabs>
        <w:spacing w:lineRule="auto" w:line="240"/>
        <w:ind w:hanging="360" w:start="360" w:end="0"/>
        <w:rPr/>
      </w:pPr>
      <w:r>
        <w:rPr>
          <w:rStyle w:val="FootnoteCharacters"/>
        </w:rPr>
        <w:footnoteRef/>
      </w:r>
      <w:r>
        <w:rPr/>
        <w:t xml:space="preserve"> </w:t>
      </w:r>
      <w:r>
        <w:rPr/>
        <w:tab/>
        <w:t>The Herfindahl-Hirschman Index is statistical measure of the degree to which a market is concentrated among market participants.  It is calculated as the sum of squares of the market shares of the market participants.</w:t>
      </w:r>
    </w:p>
  </w:footnote>
  <w:footnote w:id="5">
    <w:p>
      <w:pPr>
        <w:pStyle w:val="FootnoteText"/>
        <w:tabs>
          <w:tab w:val="clear" w:pos="720"/>
          <w:tab w:val="left" w:pos="360" w:leader="none"/>
        </w:tabs>
        <w:spacing w:lineRule="auto" w:line="240"/>
        <w:ind w:hanging="360" w:start="360" w:end="0"/>
        <w:rPr/>
      </w:pPr>
      <w:r>
        <w:rPr>
          <w:rStyle w:val="FootnoteCharacters"/>
        </w:rPr>
        <w:footnoteRef/>
      </w:r>
      <w:r>
        <w:rPr/>
        <w:t xml:space="preserve"> </w:t>
      </w:r>
      <w:r>
        <w:rPr/>
        <w:tab/>
        <w:t>Energy Deregulation:  Status of Natural Gas Customer Choice Programs, United States General Accounting Office, December 1998.</w:t>
      </w:r>
    </w:p>
  </w:footnote>
  <w:footnote w:id="6">
    <w:p>
      <w:pPr>
        <w:pStyle w:val="FootnoteText"/>
        <w:rPr/>
      </w:pPr>
      <w:r>
        <w:rPr>
          <w:rStyle w:val="FootnoteCharacters"/>
        </w:rPr>
        <w:footnoteRef/>
      </w:r>
      <w:r>
        <w:rPr/>
        <w:tab/>
        <w:t>Beginning April 1, 1996, each interstate pipeline regulated by the FERC that provides firm transportation or storage service must file for each calendar quarter an index of all of its firm transportation and storage contracts as of the first day of the calendar quarter.  The Index of Customers must include one record for each combination of customer, rate schedule, and contract for firm transportation and storage active as of the filing date.  Contract volumes must be reported in MMBtus or decatherms.  This information is available in electronic form from the FERC.</w:t>
      </w:r>
    </w:p>
  </w:footnote>
  <w:footnote w:id="7">
    <w:p>
      <w:pPr>
        <w:pStyle w:val="FootnoteText"/>
        <w:rPr/>
      </w:pPr>
      <w:r>
        <w:rPr>
          <w:rStyle w:val="FootnoteCharacters"/>
        </w:rPr>
        <w:footnoteRef/>
      </w:r>
      <w:r>
        <w:rPr/>
        <w:t xml:space="preserve"> </w:t>
      </w:r>
      <w:r>
        <w:rPr/>
        <w:tab/>
        <w:t>Interstate pipelines with storage capacity were assigned to regions based on the location of the preponderance of the pipelines end-use deliveries.  For example, even though most of Transco’s storage is located in Louisiana and Mississippi, the majority of their gas deliveries are in the Northeast region.  Therefore, all of Transco’s storage contract capacity is included in the Northeast region.  Independent storage operators were assigned to the region where the facility is located.</w:t>
      </w:r>
    </w:p>
  </w:footnote>
  <w:footnote w:id="8">
    <w:p>
      <w:pPr>
        <w:pStyle w:val="FootnoteText"/>
        <w:tabs>
          <w:tab w:val="clear" w:pos="720"/>
          <w:tab w:val="left" w:pos="360" w:leader="none"/>
        </w:tabs>
        <w:spacing w:lineRule="auto" w:line="240"/>
        <w:ind w:hanging="360" w:start="360" w:end="0"/>
        <w:rPr/>
      </w:pPr>
      <w:r>
        <w:rPr>
          <w:rStyle w:val="FootnoteCharacters"/>
        </w:rPr>
        <w:footnoteRef/>
      </w:r>
      <w:r>
        <w:rPr/>
        <w:t xml:space="preserve"> </w:t>
      </w:r>
      <w:r>
        <w:rPr/>
        <w:tab/>
        <w:t>Total storage capacity under contract in the Southeast may be understated in the methodology used in this analysis.  Several Southeastern LDCs hold storage capacity on Transco and other interstate pipelines, which are counted in other regions.</w:t>
      </w:r>
    </w:p>
  </w:footnote>
  <w:footnote w:id="9">
    <w:p>
      <w:pPr>
        <w:pStyle w:val="FootnoteText"/>
        <w:rPr/>
      </w:pPr>
      <w:r>
        <w:rPr>
          <w:rStyle w:val="FootnoteCharacters"/>
        </w:rPr>
        <w:footnoteRef/>
      </w:r>
      <w:r>
        <w:rPr/>
        <w:t xml:space="preserve"> </w:t>
      </w:r>
      <w:r>
        <w:rPr/>
        <w:tab/>
        <w:t>The Southwest has a number of intrastate and independent storage operators, who do not report to FERC, as well as a significant amount of storage capacity on pipelines that deliver gas into other regions.  Hence, the true amount of storage being held in the Southwest is not fully reflected in these numbers.</w:t>
      </w:r>
    </w:p>
  </w:footnote>
  <w:footnote w:id="10">
    <w:p>
      <w:pPr>
        <w:pStyle w:val="FootnoteText"/>
        <w:rPr/>
      </w:pPr>
      <w:r>
        <w:rPr>
          <w:rStyle w:val="FootnoteCharacters"/>
        </w:rPr>
        <w:footnoteRef/>
      </w:r>
      <w:r>
        <w:rPr/>
        <w:t xml:space="preserve">  </w:t>
      </w:r>
      <w:r>
        <w:rPr/>
        <w:tab/>
        <w:t>The courts have held that an entity is unduly exercising market power when they can profitably withhold capacity for an extended period.  It is often measured as an ability to raise market prices by 10 percent or more.</w:t>
      </w:r>
    </w:p>
  </w:footnote>
  <w:footnote w:id="11">
    <w:p>
      <w:pPr>
        <w:pStyle w:val="FootnoteText"/>
        <w:rPr/>
      </w:pPr>
      <w:r>
        <w:rPr>
          <w:rStyle w:val="FootnoteCharacters"/>
        </w:rPr>
        <w:footnoteRef/>
      </w:r>
      <w:r>
        <w:rPr/>
        <w:tab/>
        <w:t xml:space="preserve">GRI, </w:t>
      </w:r>
      <w:r>
        <w:rPr>
          <w:u w:val="single"/>
        </w:rPr>
        <w:t>Baseline Projection Data Book – 2000 Edition</w:t>
      </w:r>
      <w:r>
        <w:rPr/>
        <w:t>, Document No. GRI-00/0002.1, January 2000.</w:t>
      </w:r>
    </w:p>
  </w:footnote>
  <w:footnote w:id="12">
    <w:p>
      <w:pPr>
        <w:pStyle w:val="FootnoteText"/>
        <w:rPr/>
      </w:pPr>
      <w:r>
        <w:rPr>
          <w:rStyle w:val="FootnoteCharacters"/>
        </w:rPr>
        <w:footnoteRef/>
      </w:r>
      <w:r>
        <w:rPr/>
        <w:tab/>
        <w:t>The courts have held that an entity is unduly exercising market power when they can profitably withhold capacity for an extended period.  It is often measured as an ability to raise market prices by 10 percent or more.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5"/>
    <w:lvlOverride w:ilvl="0">
      <w:startOverride w:val="1"/>
    </w:lvlOverride>
  </w:num>
  <w:num w:numId="13">
    <w:abstractNumId w:val="5"/>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before="240" w:after="60"/>
      <w:outlineLvl w:val="0"/>
    </w:pPr>
    <w:rPr>
      <w:rFonts w:ascii="Arial" w:hAnsi="Arial" w:cs="Arial"/>
      <w:b/>
      <w:kern w:val="2"/>
      <w:sz w:val="32"/>
      <w:lang w:eastAsia="en-US"/>
    </w:rPr>
  </w:style>
  <w:style w:type="paragraph" w:styleId="Heading2">
    <w:name w:val="heading 2"/>
    <w:basedOn w:val="Normal"/>
    <w:next w:val="Normal"/>
    <w:qFormat/>
    <w:pPr>
      <w:keepNext w:val="true"/>
      <w:numPr>
        <w:ilvl w:val="1"/>
        <w:numId w:val="1"/>
      </w:numPr>
      <w:outlineLvl w:val="1"/>
    </w:pPr>
    <w:rPr>
      <w:rFonts w:ascii="Arial" w:hAnsi="Arial" w:cs="Arial"/>
      <w:b/>
      <w:i/>
      <w:sz w:val="28"/>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paragraph" w:styleId="Heading4">
    <w:name w:val="heading 4"/>
    <w:basedOn w:val="Normal"/>
    <w:next w:val="Normal"/>
    <w:qFormat/>
    <w:pPr>
      <w:keepNext w:val="true"/>
      <w:numPr>
        <w:ilvl w:val="3"/>
        <w:numId w:val="1"/>
      </w:numPr>
      <w:spacing w:before="0" w:after="120"/>
      <w:ind w:hanging="0" w:start="0" w:end="0"/>
      <w:outlineLvl w:val="3"/>
    </w:pPr>
    <w:rPr>
      <w:b/>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00"/>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32"/>
      <w:lang w:eastAsia="en-US"/>
    </w:rPr>
  </w:style>
  <w:style w:type="paragraph" w:styleId="Heading7">
    <w:name w:val="heading 7"/>
    <w:basedOn w:val="Normal"/>
    <w:next w:val="Normal"/>
    <w:qFormat/>
    <w:pPr>
      <w:keepNext w:val="true"/>
      <w:numPr>
        <w:ilvl w:val="6"/>
        <w:numId w:val="1"/>
      </w:numPr>
      <w:outlineLvl w:val="6"/>
    </w:pPr>
    <w:rPr>
      <w:rFonts w:ascii="Arial" w:hAnsi="Arial" w:cs="Arial"/>
      <w:b/>
      <w:color w:val="000000"/>
      <w:lang w:eastAsia="en-US"/>
    </w:rPr>
  </w:style>
  <w:style w:type="paragraph" w:styleId="Heading8">
    <w:name w:val="heading 8"/>
    <w:basedOn w:val="Normal"/>
    <w:next w:val="Normal"/>
    <w:qFormat/>
    <w:pPr>
      <w:keepNext w:val="true"/>
      <w:numPr>
        <w:ilvl w:val="7"/>
        <w:numId w:val="1"/>
      </w:numPr>
      <w:spacing w:before="0" w:after="120"/>
      <w:jc w:val="center"/>
      <w:outlineLvl w:val="7"/>
    </w:pPr>
    <w:rPr>
      <w:rFonts w:ascii="Arial" w:hAnsi="Arial" w:cs="Arial"/>
      <w:b/>
      <w:sz w:val="2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1">
    <w:name w:val="WW8Num6z1"/>
    <w:qFormat/>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z0">
    <w:name w:val="WW8NumSt6z0"/>
    <w:qFormat/>
    <w:rPr>
      <w:rFonts w:ascii="Times New Roman" w:hAnsi="Times New Roman" w:cs="Times New Roman"/>
      <w:b w:val="false"/>
      <w:i w:val="false"/>
      <w:sz w:val="24"/>
      <w:u w:val="none"/>
    </w:rPr>
  </w:style>
  <w:style w:type="character" w:styleId="WW8NumSt26z0">
    <w:name w:val="WW8NumSt26z0"/>
    <w:qFormat/>
    <w:rPr>
      <w:rFonts w:ascii="Courier New" w:hAnsi="Courier New" w:cs="Courier New"/>
    </w:rPr>
  </w:style>
  <w:style w:type="character" w:styleId="WW8NumSt48z0">
    <w:name w:val="WW8NumSt48z0"/>
    <w:qFormat/>
    <w:rPr>
      <w:rFonts w:ascii="Times New Roman" w:hAnsi="Times New Roman" w:cs="Times New Roman"/>
    </w:rPr>
  </w:style>
  <w:style w:type="character" w:styleId="WW8NumSt58z0">
    <w:name w:val="WW8NumSt58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9"/>
      </w:numPr>
      <w:spacing w:before="0" w:after="120"/>
      <w:ind w:hanging="360" w:start="720" w:end="0"/>
    </w:pPr>
    <w:rPr/>
  </w:style>
  <w:style w:type="paragraph" w:styleId="Bullet2">
    <w:name w:val="Bullet #2"/>
    <w:basedOn w:val="Bullet1"/>
    <w:qFormat/>
    <w:pPr>
      <w:numPr>
        <w:ilvl w:val="0"/>
        <w:numId w:val="10"/>
      </w:numPr>
      <w:ind w:hanging="360" w:start="1080" w:end="0"/>
    </w:pPr>
    <w:rPr/>
  </w:style>
  <w:style w:type="paragraph" w:styleId="Bullet3">
    <w:name w:val="Bullet #3"/>
    <w:basedOn w:val="Bullet2"/>
    <w:qFormat/>
    <w:pPr>
      <w:numPr>
        <w:ilvl w:val="0"/>
        <w:numId w:val="11"/>
      </w:numPr>
      <w:ind w:hanging="36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EAHead1">
    <w:name w:val="EEAHead1"/>
    <w:basedOn w:val="Normal"/>
    <w:qFormat/>
    <w:pPr>
      <w:tabs>
        <w:tab w:val="left" w:pos="720" w:leader="none"/>
      </w:tabs>
      <w:spacing w:before="0" w:after="120"/>
    </w:pPr>
    <w:rPr>
      <w:b/>
      <w:caps/>
    </w:rPr>
  </w:style>
  <w:style w:type="paragraph" w:styleId="EEAHead2">
    <w:name w:val="EEAHead2"/>
    <w:basedOn w:val="EEAHead1"/>
    <w:qFormat/>
    <w:pPr/>
    <w:rPr>
      <w:caps w:val="false"/>
      <w:smallCaps w:val="false"/>
    </w:rPr>
  </w:style>
  <w:style w:type="paragraph" w:styleId="eeaopen">
    <w:name w:val="eea open"/>
    <w:basedOn w:val="Normal"/>
    <w:qFormat/>
    <w:pPr>
      <w:spacing w:lineRule="auto" w:line="360"/>
    </w:pPr>
    <w:rPr>
      <w:lang w:eastAsia="en-US"/>
    </w:rPr>
  </w:style>
  <w:style w:type="paragraph" w:styleId="BriefingNormal">
    <w:name w:val="Briefing Normal"/>
    <w:basedOn w:val="Normal"/>
    <w:qFormat/>
    <w:pPr/>
    <w:rPr>
      <w:sz w:val="40"/>
      <w:lang w:eastAsia="en-US"/>
    </w:rPr>
  </w:style>
  <w:style w:type="paragraph" w:styleId="FootnoteText">
    <w:name w:val="footnote text"/>
    <w:basedOn w:val="Normal"/>
    <w:pPr>
      <w:spacing w:lineRule="auto" w:line="360"/>
    </w:pPr>
    <w:rPr>
      <w:sz w:val="20"/>
      <w:lang w:eastAsia="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720" w:start="720" w:end="0"/>
    </w:pPr>
    <w:rPr>
      <w:rFonts w:ascii="Arial" w:hAnsi="Arial" w:cs="Arial"/>
      <w:b/>
      <w:sz w:val="28"/>
    </w:rPr>
  </w:style>
  <w:style w:type="paragraph" w:styleId="BodyTextIndent2">
    <w:name w:val="Body Text Indent 2"/>
    <w:basedOn w:val="Normal"/>
    <w:qFormat/>
    <w:pPr>
      <w:ind w:hanging="450" w:start="450" w:end="0"/>
    </w:pPr>
    <w:rPr>
      <w:rFonts w:ascii="Arial" w:hAnsi="Arial" w:cs="Arial"/>
      <w:b/>
      <w:sz w:val="32"/>
    </w:rPr>
  </w:style>
  <w:style w:type="paragraph" w:styleId="EndnoteText">
    <w:name w:val="endnote text"/>
    <w:basedOn w:val="Normal"/>
    <w:pPr>
      <w:widowControl w:val="false"/>
    </w:pPr>
    <w:rPr>
      <w:sz w:val="24"/>
    </w:rPr>
  </w:style>
  <w:style w:type="paragraph" w:styleId="ListNumber2">
    <w:name w:val="List Number 2"/>
    <w:basedOn w:val="Normal"/>
    <w:qFormat/>
    <w:pPr>
      <w:numPr>
        <w:ilvl w:val="0"/>
        <w:numId w:val="3"/>
      </w:numPr>
    </w:pPr>
    <w:rPr/>
  </w:style>
  <w:style w:type="paragraph" w:styleId="ListContinue2">
    <w:name w:val="List Continue 2"/>
    <w:basedOn w:val="Normal"/>
    <w:qFormat/>
    <w:pPr>
      <w:spacing w:before="0" w:after="120"/>
      <w:ind w:hanging="0" w:start="720" w:end="0"/>
    </w:pPr>
    <w:rPr/>
  </w:style>
  <w:style w:type="paragraph" w:styleId="ListNumber3">
    <w:name w:val="List Number 3"/>
    <w:basedOn w:val="Normal"/>
    <w:qFormat/>
    <w:pPr>
      <w:numPr>
        <w:ilvl w:val="0"/>
        <w:numId w:val="2"/>
      </w:numPr>
    </w:pPr>
    <w:rPr/>
  </w:style>
  <w:style w:type="paragraph" w:styleId="ListNumber">
    <w:name w:val="List Number"/>
    <w:basedOn w:val="Normal"/>
    <w:qFormat/>
    <w:pPr>
      <w:numPr>
        <w:ilvl w:val="0"/>
        <w:numId w:val="5"/>
      </w:numPr>
    </w:pPr>
    <w:rPr/>
  </w:style>
  <w:style w:type="paragraph" w:styleId="ListBullet">
    <w:name w:val="List Bullet"/>
    <w:basedOn w:val="Normal"/>
    <w:qFormat/>
    <w:pPr>
      <w:numPr>
        <w:ilvl w:val="0"/>
        <w:numId w:val="6"/>
      </w:numPr>
    </w:pPr>
    <w:rPr/>
  </w:style>
  <w:style w:type="paragraph" w:styleId="ListBullet2">
    <w:name w:val="List Bullet 2"/>
    <w:basedOn w:val="Normal"/>
    <w:qFormat/>
    <w:pPr>
      <w:numPr>
        <w:ilvl w:val="0"/>
        <w:numId w:val="4"/>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package" Target="embeddings/oleObject3.xlsx"/><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oleObject" Target="embeddings/oleObject4.bin"/><Relationship Id="rId15" Type="http://schemas.openxmlformats.org/officeDocument/2006/relationships/image" Target="media/image10.wmf"/><Relationship Id="rId16" Type="http://schemas.openxmlformats.org/officeDocument/2006/relationships/image" Target="media/image11.wmf"/><Relationship Id="rId17" Type="http://schemas.openxmlformats.org/officeDocument/2006/relationships/oleObject" Target="embeddings/oleObject5.bin"/><Relationship Id="rId18" Type="http://schemas.openxmlformats.org/officeDocument/2006/relationships/image" Target="media/image12.wmf"/><Relationship Id="rId19" Type="http://schemas.openxmlformats.org/officeDocument/2006/relationships/oleObject" Target="embeddings/oleObject6.bin"/><Relationship Id="rId20" Type="http://schemas.openxmlformats.org/officeDocument/2006/relationships/image" Target="media/image13.wmf"/><Relationship Id="rId21" Type="http://schemas.openxmlformats.org/officeDocument/2006/relationships/oleObject" Target="embeddings/oleObject7.bin"/><Relationship Id="rId22" Type="http://schemas.openxmlformats.org/officeDocument/2006/relationships/image" Target="media/image14.wmf"/><Relationship Id="rId23" Type="http://schemas.openxmlformats.org/officeDocument/2006/relationships/oleObject" Target="embeddings/oleObject8.bin"/><Relationship Id="rId24" Type="http://schemas.openxmlformats.org/officeDocument/2006/relationships/image" Target="media/image15.wmf"/><Relationship Id="rId25" Type="http://schemas.openxmlformats.org/officeDocument/2006/relationships/oleObject" Target="embeddings/oleObject9.bin"/><Relationship Id="rId26" Type="http://schemas.openxmlformats.org/officeDocument/2006/relationships/image" Target="media/image16.wmf"/><Relationship Id="rId27" Type="http://schemas.openxmlformats.org/officeDocument/2006/relationships/image" Target="media/image17.wmf"/><Relationship Id="rId28" Type="http://schemas.openxmlformats.org/officeDocument/2006/relationships/oleObject" Target="embeddings/oleObject10.bin"/><Relationship Id="rId29" Type="http://schemas.openxmlformats.org/officeDocument/2006/relationships/image" Target="media/image18.wmf"/><Relationship Id="rId30" Type="http://schemas.openxmlformats.org/officeDocument/2006/relationships/image" Target="media/image19.wmf"/><Relationship Id="rId31" Type="http://schemas.openxmlformats.org/officeDocument/2006/relationships/image" Target="media/image20.wmf"/><Relationship Id="rId32" Type="http://schemas.openxmlformats.org/officeDocument/2006/relationships/image" Target="media/image21.wmf"/><Relationship Id="rId33" Type="http://schemas.openxmlformats.org/officeDocument/2006/relationships/image" Target="media/image22.wmf"/><Relationship Id="rId34" Type="http://schemas.openxmlformats.org/officeDocument/2006/relationships/image" Target="media/image23.wmf"/><Relationship Id="rId35" Type="http://schemas.openxmlformats.org/officeDocument/2006/relationships/image" Target="media/image24.wmf"/><Relationship Id="rId36" Type="http://schemas.openxmlformats.org/officeDocument/2006/relationships/image" Target="media/image25.wmf"/><Relationship Id="rId37" Type="http://schemas.openxmlformats.org/officeDocument/2006/relationships/package" Target="embeddings/oleObject11.xlsx"/><Relationship Id="rId38" Type="http://schemas.openxmlformats.org/officeDocument/2006/relationships/image" Target="media/image26.wmf"/><Relationship Id="rId39" Type="http://schemas.openxmlformats.org/officeDocument/2006/relationships/package" Target="embeddings/oleObject12.xlsx"/><Relationship Id="rId40" Type="http://schemas.openxmlformats.org/officeDocument/2006/relationships/image" Target="media/image4.wmf"/><Relationship Id="rId41" Type="http://schemas.openxmlformats.org/officeDocument/2006/relationships/package" Target="embeddings/oleObject13.xlsx"/><Relationship Id="rId42" Type="http://schemas.openxmlformats.org/officeDocument/2006/relationships/image" Target="media/image4.wmf"/><Relationship Id="rId43" Type="http://schemas.openxmlformats.org/officeDocument/2006/relationships/package" Target="embeddings/oleObject14.xlsx"/><Relationship Id="rId44" Type="http://schemas.openxmlformats.org/officeDocument/2006/relationships/image" Target="media/image27.wmf"/><Relationship Id="rId45" Type="http://schemas.openxmlformats.org/officeDocument/2006/relationships/image" Target="media/image28.wmf"/><Relationship Id="rId46" Type="http://schemas.openxmlformats.org/officeDocument/2006/relationships/image" Target="media/image29.wmf"/><Relationship Id="rId47" Type="http://schemas.openxmlformats.org/officeDocument/2006/relationships/oleObject" Target="embeddings/oleObject15.bin"/><Relationship Id="rId48" Type="http://schemas.openxmlformats.org/officeDocument/2006/relationships/image" Target="media/image30.wmf"/><Relationship Id="rId49" Type="http://schemas.openxmlformats.org/officeDocument/2006/relationships/oleObject" Target="embeddings/oleObject16.bin"/><Relationship Id="rId50" Type="http://schemas.openxmlformats.org/officeDocument/2006/relationships/image" Target="media/image31.wmf"/><Relationship Id="rId51" Type="http://schemas.openxmlformats.org/officeDocument/2006/relationships/oleObject" Target="embeddings/oleObject17.bin"/><Relationship Id="rId52" Type="http://schemas.openxmlformats.org/officeDocument/2006/relationships/image" Target="media/image32.wmf"/><Relationship Id="rId53" Type="http://schemas.openxmlformats.org/officeDocument/2006/relationships/footer" Target="footer1.xml"/><Relationship Id="rId54" Type="http://schemas.openxmlformats.org/officeDocument/2006/relationships/oleObject" Target="embeddings/oleObject18.bin"/><Relationship Id="rId55" Type="http://schemas.openxmlformats.org/officeDocument/2006/relationships/image" Target="media/image33.wmf"/><Relationship Id="rId56" Type="http://schemas.openxmlformats.org/officeDocument/2006/relationships/footer" Target="footer2.xml"/><Relationship Id="rId57" Type="http://schemas.openxmlformats.org/officeDocument/2006/relationships/footer" Target="footer3.xml"/><Relationship Id="rId58" Type="http://schemas.openxmlformats.org/officeDocument/2006/relationships/footnotes" Target="foot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 report.dot</Template>
  <TotalTime>486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2000-01-26T19:48:00Z</dcterms:created>
  <dc:creator>EEA, Inc</dc:creator>
  <dc:description/>
  <dc:language>en-CA</dc:language>
  <cp:lastModifiedBy>Carrie Kampf</cp:lastModifiedBy>
  <cp:lastPrinted>2000-02-10T17:57:00Z</cp:lastPrinted>
  <dcterms:modified xsi:type="dcterms:W3CDTF">2000-05-08T12:18:00Z</dcterms:modified>
  <cp:revision>30</cp:revision>
  <dc:subject/>
  <dc:title>TYPE SECTION HEADING HERE</dc:title>
</cp:coreProperties>
</file>