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Andrea Reed, Doug Parsons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Chris Long, Masha Arefieva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Aluminum Agreement of 1994 and its Implications for the Completion of a Global Steel Agreement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u w:val="single"/>
        </w:rPr>
      </w:pPr>
      <w:r>
        <w:rPr>
          <w:u w:val="single"/>
        </w:rPr>
        <w:t>Executive Summary</w:t>
      </w:r>
    </w:p>
    <w:p>
      <w:pPr>
        <w:pStyle w:val="Body"/>
        <w:rPr>
          <w:u w:val="single"/>
        </w:rPr>
      </w:pPr>
      <w:r>
        <w:rPr>
          <w:u w:val="single"/>
        </w:rPr>
      </w:r>
    </w:p>
    <w:p>
      <w:pPr>
        <w:pStyle w:val="Body"/>
        <w:rPr/>
      </w:pPr>
      <w:r>
        <w:rPr/>
        <w:t>The concept of a multilateral capacity reduction agreement in steel is viewed as one of the possible solutions to the current crisis in the domestic steel industry.  A similar agreement was negotiated in the aluminum sector in 1994.  However, the aluminum agreement was largely ineffective and capacity reductions were achieved through individual decisions of market participants.  While the conclusion of a multilateral agreement is a viable option, the enforcement of, and compliance with, a multilateral steel agreement could be troublesome because of the number of participants in the steel industry and the belief in the strategic nature of steel industry by many countries.</w:t>
      </w:r>
    </w:p>
    <w:p>
      <w:pPr>
        <w:pStyle w:val="Body"/>
        <w:rPr>
          <w:u w:val="single"/>
        </w:rPr>
      </w:pPr>
      <w:r>
        <w:rPr>
          <w:u w:val="single"/>
        </w:rPr>
      </w:r>
    </w:p>
    <w:p>
      <w:pPr>
        <w:pStyle w:val="Body"/>
        <w:rPr>
          <w:u w:val="single"/>
        </w:rPr>
      </w:pPr>
      <w:r>
        <w:rPr>
          <w:u w:val="single"/>
        </w:rPr>
        <w:t>Section 201 Update</w:t>
      </w:r>
    </w:p>
    <w:p>
      <w:pPr>
        <w:pStyle w:val="Body"/>
        <w:rPr>
          <w:u w:val="single"/>
        </w:rPr>
      </w:pPr>
      <w:r>
        <w:rPr>
          <w:u w:val="single"/>
        </w:rPr>
      </w:r>
    </w:p>
    <w:p>
      <w:pPr>
        <w:pStyle w:val="Body"/>
        <w:rPr/>
      </w:pPr>
      <w:r>
        <w:rPr/>
        <w:t>Steel industry leaders met with senior White House officials last week but the White House has not yet determined how it will proceed on steel industry relief. Section 201, which is one option under consideration, is still being pursued by the steel industry. The Administration is not convinced that the industry is united in support of a 201 initiation and they question if imports are resulting in the reduced price of US steel.  They recognize the quotas have broad implications for the greater international trade agenda and retaliation from WTO members in advance of the Doha meeting is ill advised.  Accordingly, they are looking for alternative solutions to a 201 initiation, which seem to be focusing on multilateral agreement as a possible alternative.  Administration officials continue to say that they will make a decision within “weeks”.</w:t>
      </w:r>
    </w:p>
    <w:p>
      <w:pPr>
        <w:pStyle w:val="Body"/>
        <w:rPr/>
      </w:pPr>
      <w:r>
        <w:rPr/>
      </w:r>
    </w:p>
    <w:p>
      <w:pPr>
        <w:pStyle w:val="Body"/>
        <w:rPr/>
      </w:pPr>
      <w:r>
        <w:rPr/>
        <w:t>The shift in Senate power to the Democrats significantly alters the White House trade strategy.  Depending on the final composition of the Senate Finance Committee, Section 201 initiation from Finance is possible, but far from certain.  The Administration also must figure how to move Trade Promotion Authority (TPA), a Bush priority, in a Democratic Senate and Section 201 is a possible negotiating tool.</w:t>
      </w:r>
    </w:p>
    <w:p>
      <w:pPr>
        <w:pStyle w:val="Body"/>
        <w:rPr/>
      </w:pPr>
      <w:r>
        <w:rPr/>
      </w:r>
    </w:p>
    <w:p>
      <w:pPr>
        <w:pStyle w:val="Body"/>
        <w:rPr/>
      </w:pPr>
      <w:r>
        <w:rPr/>
        <w:t xml:space="preserve">Given the uncertainty, the consuming industry (including Enron) continues to oppose a Section 201 investigation. </w:t>
      </w:r>
    </w:p>
    <w:p>
      <w:pPr>
        <w:pStyle w:val="Body"/>
        <w:rPr/>
      </w:pPr>
      <w:r>
        <w:rPr/>
      </w:r>
    </w:p>
    <w:p>
      <w:pPr>
        <w:pStyle w:val="Body"/>
        <w:rPr>
          <w:u w:val="single"/>
        </w:rPr>
      </w:pPr>
      <w:r>
        <w:rPr>
          <w:u w:val="single"/>
        </w:rPr>
        <w:t>Aluminum Agreement of 1994</w:t>
      </w:r>
    </w:p>
    <w:p>
      <w:pPr>
        <w:pStyle w:val="CopyList"/>
        <w:tabs>
          <w:tab w:val="clear" w:pos="504"/>
          <w:tab w:val="left" w:pos="0" w:leader="none"/>
        </w:tabs>
        <w:ind w:hanging="0" w:start="0" w:end="0"/>
        <w:rPr/>
      </w:pPr>
      <w:r>
        <w:rPr/>
        <w:t>In 1993, government officials from Australia, Canada, the European Union, Norway, the Russian Federation, and the United States held a series of negotiations to address the unprecedented levels of exports from the former Soviet Union.   In March 1994, these countries signed a Memorandum of Understanding (MOU), which resulted in Russia’s agreement to cut its aluminum production by 500,000 metric tons per year in two stages for the period of no less than two years.  The participating countries agreed that trade actions against Russian aluminum exports would not be taken and would be lifted by the European Union.  In addition, the United States would provide $250 million in guarantees and technical assistance to Russian aluminum producers.</w:t>
      </w:r>
    </w:p>
    <w:p>
      <w:pPr>
        <w:pStyle w:val="CopyList"/>
        <w:tabs>
          <w:tab w:val="clear" w:pos="504"/>
          <w:tab w:val="left" w:pos="0" w:leader="none"/>
        </w:tabs>
        <w:ind w:hanging="0" w:start="0" w:end="0"/>
        <w:rPr/>
      </w:pPr>
      <w:r>
        <w:rPr/>
        <w:t xml:space="preserve">Yet, because of persistent poor market fundamentals, Western aluminum-producing countries announced production cuts totaling 900,000 metric tons in 1994.  A total of 262,000 MT of primary capacity was idled in the United States in 1994.  Electricity shortages in the Pacific Northwest and high production costs forced American producers to cut production.  As a result, imports of Russian aluminum increased on a year-to-year basis.  The United States imported 643,000 MT of aluminum from Russia in 1994 compared to 421,000 MT in 1993.  In addition, Russia refused to adhere to the negotiated production cuts because the Russians claimed that the western nations did not make adequate cuts in production and the European Union delayed lifting trade restrictions.  </w:t>
      </w:r>
    </w:p>
    <w:p>
      <w:pPr>
        <w:pStyle w:val="CopyList"/>
        <w:tabs>
          <w:tab w:val="clear" w:pos="504"/>
          <w:tab w:val="left" w:pos="0" w:leader="none"/>
        </w:tabs>
        <w:ind w:hanging="0" w:start="0" w:end="0"/>
        <w:rPr/>
      </w:pPr>
      <w:r>
        <w:rPr/>
        <w:t>The aluminum agreement was the first attempt at negotiated production cuts.  However, the agreement largely failed because of the reluctance of producing nations to cut production and to eliminate trade restrictions.  The improvement in market conditions occurred as a result of capacity reductions by individual companies and consolidation in the industry in the years prior to the conclusion of the agreement.  In addition, market conditions significantly improved in 1995, thus eliminating the need for further production cutbacks.</w:t>
      </w:r>
    </w:p>
    <w:p>
      <w:pPr>
        <w:pStyle w:val="CopyList"/>
        <w:tabs>
          <w:tab w:val="clear" w:pos="504"/>
          <w:tab w:val="left" w:pos="0" w:leader="none"/>
        </w:tabs>
        <w:ind w:hanging="0" w:start="0" w:end="0"/>
        <w:rPr>
          <w:u w:val="single"/>
        </w:rPr>
      </w:pPr>
      <w:r>
        <w:rPr>
          <w:u w:val="single"/>
        </w:rPr>
        <w:t>The Likelihood of a Global Steel Agreement</w:t>
      </w:r>
    </w:p>
    <w:p>
      <w:pPr>
        <w:pStyle w:val="CopyList"/>
        <w:tabs>
          <w:tab w:val="clear" w:pos="504"/>
          <w:tab w:val="left" w:pos="0" w:leader="none"/>
        </w:tabs>
        <w:ind w:hanging="0" w:start="0" w:end="0"/>
        <w:rPr/>
      </w:pPr>
      <w:r>
        <w:rPr/>
        <w:t>The conclusion of a multilateral steel agreement that would address the issue of global overcapacity is likely, but not within a limited timeframe (i.e. several months).  The conclusion and the compliance with a multilateral agreement on steel would be difficult to achieve for the following reasons:</w:t>
      </w:r>
    </w:p>
    <w:p>
      <w:pPr>
        <w:pStyle w:val="CopyList"/>
        <w:numPr>
          <w:ilvl w:val="0"/>
          <w:numId w:val="2"/>
        </w:numPr>
        <w:tabs>
          <w:tab w:val="clear" w:pos="504"/>
          <w:tab w:val="left" w:pos="0" w:leader="none"/>
        </w:tabs>
        <w:rPr/>
      </w:pPr>
      <w:r>
        <w:rPr/>
        <w:t>Unlike the aluminum agreement, the steel agreement would involve more than 6 participants.  In addition, the aluminum agreement forced only one participant, Russia, to agree to production cutbacks.  If the number of participants were not limited, the agreement would take several years to conclude.  US steel industry desires an immediate solution to the current “steel crisis” and provision of relief through a Section 201 investigation is a more attractive option.</w:t>
      </w:r>
    </w:p>
    <w:p>
      <w:pPr>
        <w:pStyle w:val="CopyList"/>
        <w:numPr>
          <w:ilvl w:val="0"/>
          <w:numId w:val="2"/>
        </w:numPr>
        <w:tabs>
          <w:tab w:val="clear" w:pos="504"/>
          <w:tab w:val="left" w:pos="0" w:leader="none"/>
        </w:tabs>
        <w:rPr/>
      </w:pPr>
      <w:r>
        <w:rPr/>
        <w:t xml:space="preserve">Capacity reductions for individual countries, and companies and by-product, would be hard to negotiate export and production volumes, primarily because of industry fragmentation.  </w:t>
      </w:r>
    </w:p>
    <w:p>
      <w:pPr>
        <w:pStyle w:val="CopyList"/>
        <w:numPr>
          <w:ilvl w:val="0"/>
          <w:numId w:val="2"/>
        </w:numPr>
        <w:tabs>
          <w:tab w:val="clear" w:pos="504"/>
          <w:tab w:val="left" w:pos="0" w:leader="none"/>
        </w:tabs>
        <w:rPr/>
      </w:pPr>
      <w:r>
        <w:rPr/>
        <w:t>The steel industry is perceived as a strategic sector by developing and transitional economies.  In addition, the steel sector is one of the primary sources of government revenue in many countries.  Production cutbacks would place severe limitations on countries’ budgets that are already suffering from budget constraints.   In addition, forced reduction in capacity would be perceived as a threat to national security and economic stability by many developing nations.</w:t>
      </w:r>
    </w:p>
    <w:p>
      <w:pPr>
        <w:pStyle w:val="CopyList"/>
        <w:numPr>
          <w:ilvl w:val="0"/>
          <w:numId w:val="2"/>
        </w:numPr>
        <w:rPr/>
      </w:pPr>
      <w:r>
        <w:rPr>
          <w:rFonts w:eastAsia="Arial"/>
        </w:rPr>
        <w:t xml:space="preserve">    </w:t>
      </w:r>
      <w:r>
        <w:rPr/>
        <w:t>Multilateral agreements typically fail, as the participants do not adhere to the agreed reductions in capacity as it occurred with the aluminum agreement.</w:t>
      </w:r>
    </w:p>
    <w:p>
      <w:pPr>
        <w:pStyle w:val="CopyList"/>
        <w:numPr>
          <w:ilvl w:val="0"/>
          <w:numId w:val="2"/>
        </w:numPr>
        <w:tabs>
          <w:tab w:val="clear" w:pos="504"/>
          <w:tab w:val="left" w:pos="720" w:leader="none"/>
        </w:tabs>
        <w:rPr/>
      </w:pPr>
      <w:r>
        <w:rPr/>
        <w:t>The United States attempted to negotiate a bilateral capacity reduction agreement with Russia within the context of the comprehensive suspension agreement.  However, consultations have been largely ineffective and Russian imports were effectively limited through the imposition of quotas and price floors by the suspension agreement.  Thus, bilateral negotiations to address overcapacity are likely but tend to be ineffective.  Trade actions provide a more effective protection instrument.</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tab/>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Pr>
        <w:sz w:val="16"/>
      </w:rPr>
      <w:t>2</w:t>
    </w:r>
    <w:r>
      <w:rPr>
        <w:sz w:val="16"/>
      </w:rPr>
      <w:fldChar w:fldCharType="end"/>
    </w:r>
  </w:p>
  <w:p>
    <w:pPr>
      <w:pStyle w:val="Header"/>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2001-05-30T18:31:00Z</dcterms:created>
  <dc:creator>marefiev</dc:creator>
  <dc:description/>
  <dc:language>en-CA</dc:language>
  <cp:lastModifiedBy>marefiev</cp:lastModifiedBy>
  <cp:lastPrinted>2001-05-30T16:00:00Z</cp:lastPrinted>
  <dcterms:modified xsi:type="dcterms:W3CDTF">2001-05-30T18:48:00Z</dcterms:modified>
  <cp:revision>3</cp:revision>
  <dc:subject/>
  <dc:title>Better, Faster, Simpler Memo </dc:title>
</cp:coreProperties>
</file>