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  <w:u w:val="single"/>
        </w:rPr>
        <w:t>Bob Bruce</w:t>
      </w:r>
      <w:r>
        <w:rPr/>
        <w:t xml:space="preserve"> (8/16/00)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ISDA Reviews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Crescendo Energy LLC – call into Russell Diamond for info</w:t>
      </w:r>
    </w:p>
    <w:p>
      <w:pPr>
        <w:pStyle w:val="Normal"/>
        <w:rPr/>
      </w:pPr>
      <w:r>
        <w:rPr/>
        <w:tab/>
        <w:t>FirstEnergy Trading Services Inc. – call into Brad Schneider for info</w:t>
      </w:r>
    </w:p>
    <w:p>
      <w:pPr>
        <w:pStyle w:val="Normal"/>
        <w:rPr/>
      </w:pPr>
      <w:r>
        <w:rPr/>
        <w:tab/>
        <w:t>Fortune Energy Inc. – call into Russell Diamond for info</w:t>
      </w:r>
    </w:p>
    <w:p>
      <w:pPr>
        <w:pStyle w:val="Normal"/>
        <w:rPr/>
      </w:pPr>
      <w:r>
        <w:rPr/>
        <w:tab/>
        <w:t>Consolidated Edison Energy, Inc.</w:t>
      </w:r>
    </w:p>
    <w:p>
      <w:pPr>
        <w:pStyle w:val="Normal"/>
        <w:rPr/>
      </w:pPr>
      <w:r>
        <w:rPr/>
        <w:tab/>
        <w:t>Consolidated Edison Solutions, Inc.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MG London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Work w/ Sara Shackleton in addressing CFTC licensing issues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Ag Trading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8/16 – conference call w/ Gary Hickerson, Sidley &amp; Austin re “agricultural trade option merchant” registration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8/17 – presentation by traders on status of ag program; meet w/ Elsa Piekielniak and Lisa Yoho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Outline scope of S&amp;A research memo; submit to Shackleton, Haedicke for review and comment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Coordinate w/ public affairs department, S&amp;A in monitoring ag lobby involvement in pending legislation, rulemaking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Research agriculture markets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Consult w/ traders, Enron Net Works re development of financial, physical transactions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2000-08-16T14:50:00Z</dcterms:created>
  <dc:creator>rbruce2</dc:creator>
  <dc:description/>
  <dc:language>en-CA</dc:language>
  <cp:lastModifiedBy>rbruce2</cp:lastModifiedBy>
  <dcterms:modified xsi:type="dcterms:W3CDTF">2000-08-16T14:51:00Z</dcterms:modified>
  <cp:revision>3</cp:revision>
  <dc:subject/>
  <dc:title>Bob Bruce</dc:title>
</cp:coreProperties>
</file>