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Current status of MG Metals’ VAR calculation and model development</w:t>
      </w:r>
    </w:p>
    <w:p>
      <w:pPr>
        <w:pStyle w:val="Normal"/>
        <w:jc w:val="center"/>
        <w:rPr>
          <w:b/>
          <w:sz w:val="24"/>
        </w:rPr>
      </w:pPr>
      <w:r>
        <w:rPr>
          <w:b/>
          <w:sz w:val="24"/>
        </w:rPr>
        <w:t>August 1st, 2000</w:t>
      </w:r>
    </w:p>
    <w:p>
      <w:pPr>
        <w:pStyle w:val="Normal"/>
        <w:jc w:val="center"/>
        <w:rPr>
          <w:b/>
          <w:sz w:val="24"/>
        </w:rPr>
      </w:pPr>
      <w:r>
        <w:rPr>
          <w:b/>
          <w:sz w:val="24"/>
        </w:rPr>
      </w:r>
    </w:p>
    <w:p>
      <w:pPr>
        <w:pStyle w:val="Normal"/>
        <w:rPr/>
      </w:pPr>
      <w:r>
        <w:rPr/>
        <w:t xml:space="preserve">VAR model is setup as a spreadsheet with a DLL attached to it. Presently there are 10 portfolios specified in the spreadsheet, each portfolio is based on one commodity. Here is the list of 10 commodities: </w:t>
      </w:r>
    </w:p>
    <w:p>
      <w:pPr>
        <w:pStyle w:val="Normal"/>
        <w:rPr/>
      </w:pPr>
      <w:r>
        <w:rPr/>
      </w:r>
    </w:p>
    <w:p>
      <w:pPr>
        <w:pStyle w:val="Normal"/>
        <w:rPr/>
      </w:pPr>
      <w:r>
        <w:rPr/>
        <w:t xml:space="preserve">Aluminum </w:t>
      </w:r>
    </w:p>
    <w:p>
      <w:pPr>
        <w:pStyle w:val="Normal"/>
        <w:rPr/>
      </w:pPr>
      <w:r>
        <w:rPr/>
        <w:t>Copper</w:t>
      </w:r>
    </w:p>
    <w:p>
      <w:pPr>
        <w:pStyle w:val="Normal"/>
        <w:rPr/>
      </w:pPr>
      <w:r>
        <w:rPr/>
        <w:t>Lead</w:t>
      </w:r>
    </w:p>
    <w:p>
      <w:pPr>
        <w:pStyle w:val="Normal"/>
        <w:rPr/>
      </w:pPr>
      <w:r>
        <w:rPr/>
        <w:t>Nickel</w:t>
      </w:r>
    </w:p>
    <w:p>
      <w:pPr>
        <w:pStyle w:val="Normal"/>
        <w:rPr/>
      </w:pPr>
      <w:r>
        <w:rPr/>
        <w:t>Silver</w:t>
      </w:r>
    </w:p>
    <w:p>
      <w:pPr>
        <w:pStyle w:val="Normal"/>
        <w:rPr/>
      </w:pPr>
      <w:r>
        <w:rPr/>
        <w:t xml:space="preserve">Tin </w:t>
      </w:r>
    </w:p>
    <w:p>
      <w:pPr>
        <w:pStyle w:val="Normal"/>
        <w:rPr/>
      </w:pPr>
      <w:r>
        <w:rPr/>
        <w:t>Gold</w:t>
      </w:r>
    </w:p>
    <w:p>
      <w:pPr>
        <w:pStyle w:val="Normal"/>
        <w:rPr/>
      </w:pPr>
      <w:r>
        <w:rPr/>
        <w:t>Copper Concentrate</w:t>
      </w:r>
    </w:p>
    <w:p>
      <w:pPr>
        <w:pStyle w:val="Normal"/>
        <w:rPr/>
      </w:pPr>
      <w:r>
        <w:rPr/>
        <w:t xml:space="preserve">Cocoa Beans. </w:t>
      </w:r>
    </w:p>
    <w:p>
      <w:pPr>
        <w:pStyle w:val="Normal"/>
        <w:rPr/>
      </w:pPr>
      <w:r>
        <w:rPr/>
      </w:r>
    </w:p>
    <w:p>
      <w:pPr>
        <w:pStyle w:val="Normal"/>
        <w:rPr/>
      </w:pPr>
      <w:r>
        <w:rPr/>
        <w:t>The positions in these commodities introduce more than 95% of risk for MG’s portfolio. All positions have  been sourced daily since 26/07/2000 from MG systems. Howvere, there has has been no independent check by research to see if these values accurately represent the sensitivities of the portfolio.</w:t>
      </w:r>
    </w:p>
    <w:p>
      <w:pPr>
        <w:pStyle w:val="Normal"/>
        <w:rPr/>
      </w:pPr>
      <w:r>
        <w:rPr/>
        <w:t xml:space="preserve">The VAR is calculated for each of 10 portfolios and the aggregated VAR number is produced for the whole portfolio. The model is based on Monte-Carlo simulations for underlying forward prices. For options we only have delta positions.  </w:t>
      </w:r>
    </w:p>
    <w:p>
      <w:pPr>
        <w:pStyle w:val="Normal"/>
        <w:rPr/>
      </w:pPr>
      <w:r>
        <w:rPr/>
      </w:r>
    </w:p>
    <w:p>
      <w:pPr>
        <w:pStyle w:val="Normal"/>
        <w:rPr/>
      </w:pPr>
      <w:r>
        <w:rPr/>
        <w:t>Principal component analysis was performed for each of the metals (excluding the Treatment Charge/Refining Charge  (TC/RC) sensitivity of the Copper Concentrate position) and also the Cocoa Bean position. However, the historical data used for the Gold, Silver, and Cocoa Bean positions was limited to just one forward price every other month so the factor loadings remain constant over a two month interval. For the TC/RC prices we just have historical prompt month prices and one year forward prices. This is not sufficient data to complete a principal component analysis so a 1-factor model is used.  The forward price curve is also set at a constant value which is currently thevalue of the  July 2000 spot price. Some work needs to be completed on the volatility of this price – as a conservative benchmark the Copper price curve volatility was used but this is likely to be too high.</w:t>
      </w:r>
    </w:p>
    <w:p>
      <w:pPr>
        <w:pStyle w:val="Normal"/>
        <w:rPr/>
      </w:pPr>
      <w:r>
        <w:rPr/>
      </w:r>
    </w:p>
    <w:p>
      <w:pPr>
        <w:pStyle w:val="Normal"/>
        <w:rPr/>
      </w:pPr>
      <w:r>
        <w:rPr/>
        <w:t>A correlation matrix has been calculated which covers the correlation between all the curves that have been included in the factor loadings analysis. At present the correlarion of the TC/RC price curve against all the other prices curves is assumed to be zero.</w:t>
      </w:r>
    </w:p>
    <w:p>
      <w:pPr>
        <w:pStyle w:val="Normal"/>
        <w:rPr/>
      </w:pPr>
      <w:r>
        <w:rPr/>
      </w:r>
    </w:p>
    <w:p>
      <w:pPr>
        <w:pStyle w:val="Normal"/>
        <w:rPr/>
      </w:pPr>
      <w:r>
        <w:rPr/>
        <w:t xml:space="preserve">Links in the spreadsheet have been set up so that prices and positions can be loaded for all the curves, with the exception of cocao beans and gold, efficiently every day. These prices are currently being sourced via Telerate Bridge from Reuters. </w:t>
      </w:r>
    </w:p>
    <w:p>
      <w:pPr>
        <w:pStyle w:val="Normal"/>
        <w:rPr/>
      </w:pPr>
      <w:r>
        <w:rPr/>
      </w:r>
    </w:p>
    <w:p>
      <w:pPr>
        <w:pStyle w:val="Normal"/>
        <w:rPr/>
      </w:pPr>
      <w:r>
        <w:rPr/>
        <w:t>The model has been run daily since the 26</w:t>
      </w:r>
      <w:r>
        <w:rPr>
          <w:vertAlign w:val="superscript"/>
        </w:rPr>
        <w:t>th</w:t>
      </w:r>
      <w:r>
        <w:rPr/>
        <w:t xml:space="preserve"> of July. The calculated results for the total portfolio VaR are as follows:</w:t>
      </w:r>
    </w:p>
    <w:p>
      <w:pPr>
        <w:pStyle w:val="Normal"/>
        <w:rPr/>
      </w:pPr>
      <w:r>
        <w:rPr/>
      </w:r>
    </w:p>
    <w:tbl>
      <w:tblPr>
        <w:tblW w:w="2539" w:type="dxa"/>
        <w:jc w:val="start"/>
        <w:tblInd w:w="0" w:type="dxa"/>
        <w:tblLayout w:type="fixed"/>
        <w:tblCellMar>
          <w:top w:w="0" w:type="dxa"/>
          <w:start w:w="30" w:type="dxa"/>
          <w:bottom w:w="0" w:type="dxa"/>
          <w:end w:w="30" w:type="dxa"/>
        </w:tblCellMar>
      </w:tblPr>
      <w:tblGrid>
        <w:gridCol w:w="1010"/>
        <w:gridCol w:w="1529"/>
      </w:tblGrid>
      <w:tr>
        <w:trPr>
          <w:trHeight w:val="262" w:hRule="atLeast"/>
        </w:trPr>
        <w:tc>
          <w:tcPr>
            <w:tcW w:w="1010" w:type="dxa"/>
            <w:tcBorders>
              <w:top w:val="single" w:sz="12" w:space="0" w:color="000000"/>
              <w:start w:val="single" w:sz="12" w:space="0" w:color="000000"/>
              <w:bottom w:val="single" w:sz="12" w:space="0" w:color="000000"/>
              <w:end w:val="single" w:sz="12" w:space="0" w:color="000000"/>
            </w:tcBorders>
            <w:shd w:fill="FFFFFF" w:val="clear"/>
          </w:tcPr>
          <w:p>
            <w:pPr>
              <w:pStyle w:val="Normal"/>
              <w:rPr>
                <w:rFonts w:ascii="Arial" w:hAnsi="Arial" w:cs="Arial"/>
                <w:b/>
                <w:color w:val="000000"/>
                <w:lang w:val="en-AU" w:eastAsia="en-US"/>
              </w:rPr>
            </w:pPr>
            <w:r>
              <w:rPr>
                <w:rFonts w:cs="Arial" w:ascii="Arial" w:hAnsi="Arial"/>
                <w:b/>
                <w:color w:val="000000"/>
                <w:lang w:val="en-AU" w:eastAsia="en-US"/>
              </w:rPr>
              <w:t>Date</w:t>
            </w:r>
          </w:p>
        </w:tc>
        <w:tc>
          <w:tcPr>
            <w:tcW w:w="1529" w:type="dxa"/>
            <w:tcBorders>
              <w:top w:val="single" w:sz="12" w:space="0" w:color="000000"/>
              <w:start w:val="single" w:sz="12" w:space="0" w:color="000000"/>
              <w:bottom w:val="single" w:sz="12" w:space="0" w:color="000000"/>
              <w:end w:val="single" w:sz="12" w:space="0" w:color="000000"/>
            </w:tcBorders>
            <w:shd w:fill="FFFFFF" w:val="clear"/>
          </w:tcPr>
          <w:p>
            <w:pPr>
              <w:pStyle w:val="Normal"/>
              <w:rPr>
                <w:rFonts w:ascii="Arial" w:hAnsi="Arial" w:cs="Arial"/>
                <w:b/>
                <w:color w:val="000000"/>
                <w:lang w:val="en-AU" w:eastAsia="en-US"/>
              </w:rPr>
            </w:pPr>
            <w:r>
              <w:rPr>
                <w:rFonts w:cs="Arial" w:ascii="Arial" w:hAnsi="Arial"/>
                <w:b/>
                <w:color w:val="000000"/>
                <w:lang w:val="en-AU" w:eastAsia="en-US"/>
              </w:rPr>
              <w:t>Total VaR ($)</w:t>
            </w:r>
          </w:p>
        </w:tc>
      </w:tr>
      <w:tr>
        <w:trPr>
          <w:trHeight w:val="247" w:hRule="atLeast"/>
        </w:trPr>
        <w:tc>
          <w:tcPr>
            <w:tcW w:w="1010" w:type="dxa"/>
            <w:tcBorders>
              <w:start w:val="single" w:sz="12" w:space="0" w:color="000000"/>
              <w:end w:val="single" w:sz="12" w:space="0" w:color="000000"/>
            </w:tcBorders>
            <w:shd w:fill="FFFFFF" w:val="clear"/>
          </w:tcPr>
          <w:p>
            <w:pPr>
              <w:pStyle w:val="Normal"/>
              <w:rPr>
                <w:rFonts w:ascii="Arial" w:hAnsi="Arial" w:cs="Arial"/>
                <w:color w:val="000000"/>
                <w:lang w:val="en-AU" w:eastAsia="en-US"/>
              </w:rPr>
            </w:pPr>
            <w:r>
              <w:rPr>
                <w:rFonts w:cs="Arial" w:ascii="Arial" w:hAnsi="Arial"/>
                <w:color w:val="000000"/>
                <w:lang w:val="en-AU" w:eastAsia="en-US"/>
              </w:rPr>
              <w:t>26th</w:t>
            </w:r>
          </w:p>
        </w:tc>
        <w:tc>
          <w:tcPr>
            <w:tcW w:w="1529" w:type="dxa"/>
            <w:tcBorders>
              <w:start w:val="single" w:sz="12" w:space="0" w:color="000000"/>
              <w:end w:val="single" w:sz="12" w:space="0" w:color="000000"/>
            </w:tcBorders>
            <w:shd w:fill="FFFFFF" w:val="clear"/>
          </w:tcPr>
          <w:p>
            <w:pPr>
              <w:pStyle w:val="Normal"/>
              <w:jc w:val="end"/>
              <w:rPr>
                <w:rFonts w:ascii="Arial" w:hAnsi="Arial" w:cs="Arial"/>
                <w:color w:val="000000"/>
                <w:lang w:val="en-AU" w:eastAsia="en-US"/>
              </w:rPr>
            </w:pPr>
            <w:r>
              <w:rPr>
                <w:rFonts w:eastAsia="Arial" w:cs="Arial" w:ascii="Arial" w:hAnsi="Arial"/>
                <w:color w:val="000000"/>
                <w:lang w:val="en-AU" w:eastAsia="en-US"/>
              </w:rPr>
              <w:t xml:space="preserve">       </w:t>
            </w:r>
            <w:r>
              <w:rPr>
                <w:rFonts w:cs="Arial" w:ascii="Arial" w:hAnsi="Arial"/>
                <w:color w:val="000000"/>
                <w:lang w:val="en-AU" w:eastAsia="en-US"/>
              </w:rPr>
              <w:t xml:space="preserve">4,170,653 </w:t>
            </w:r>
          </w:p>
        </w:tc>
      </w:tr>
      <w:tr>
        <w:trPr>
          <w:trHeight w:val="247" w:hRule="atLeast"/>
        </w:trPr>
        <w:tc>
          <w:tcPr>
            <w:tcW w:w="1010" w:type="dxa"/>
            <w:tcBorders>
              <w:start w:val="single" w:sz="12" w:space="0" w:color="000000"/>
              <w:end w:val="single" w:sz="12" w:space="0" w:color="000000"/>
            </w:tcBorders>
            <w:shd w:fill="FFFFFF" w:val="clear"/>
          </w:tcPr>
          <w:p>
            <w:pPr>
              <w:pStyle w:val="Normal"/>
              <w:rPr>
                <w:rFonts w:ascii="Arial" w:hAnsi="Arial" w:cs="Arial"/>
                <w:color w:val="000000"/>
                <w:lang w:val="en-AU" w:eastAsia="en-US"/>
              </w:rPr>
            </w:pPr>
            <w:r>
              <w:rPr>
                <w:rFonts w:cs="Arial" w:ascii="Arial" w:hAnsi="Arial"/>
                <w:color w:val="000000"/>
                <w:lang w:val="en-AU" w:eastAsia="en-US"/>
              </w:rPr>
              <w:t>27th</w:t>
            </w:r>
          </w:p>
        </w:tc>
        <w:tc>
          <w:tcPr>
            <w:tcW w:w="1529" w:type="dxa"/>
            <w:tcBorders>
              <w:start w:val="single" w:sz="12" w:space="0" w:color="000000"/>
              <w:end w:val="single" w:sz="12" w:space="0" w:color="000000"/>
            </w:tcBorders>
            <w:shd w:fill="FFFFFF" w:val="clear"/>
          </w:tcPr>
          <w:p>
            <w:pPr>
              <w:pStyle w:val="Normal"/>
              <w:jc w:val="end"/>
              <w:rPr>
                <w:rFonts w:ascii="Arial" w:hAnsi="Arial" w:cs="Arial"/>
                <w:color w:val="000000"/>
                <w:lang w:val="en-AU" w:eastAsia="en-US"/>
              </w:rPr>
            </w:pPr>
            <w:r>
              <w:rPr>
                <w:rFonts w:eastAsia="Arial" w:cs="Arial" w:ascii="Arial" w:hAnsi="Arial"/>
                <w:color w:val="000000"/>
                <w:lang w:val="en-AU" w:eastAsia="en-US"/>
              </w:rPr>
              <w:t xml:space="preserve">       </w:t>
            </w:r>
            <w:r>
              <w:rPr>
                <w:rFonts w:cs="Arial" w:ascii="Arial" w:hAnsi="Arial"/>
                <w:color w:val="000000"/>
                <w:lang w:val="en-AU" w:eastAsia="en-US"/>
              </w:rPr>
              <w:t xml:space="preserve">4,290,217 </w:t>
            </w:r>
          </w:p>
        </w:tc>
      </w:tr>
      <w:tr>
        <w:trPr>
          <w:trHeight w:val="247" w:hRule="atLeast"/>
        </w:trPr>
        <w:tc>
          <w:tcPr>
            <w:tcW w:w="1010" w:type="dxa"/>
            <w:tcBorders>
              <w:start w:val="single" w:sz="12" w:space="0" w:color="000000"/>
              <w:end w:val="single" w:sz="12" w:space="0" w:color="000000"/>
            </w:tcBorders>
            <w:shd w:fill="FFFFFF" w:val="clear"/>
          </w:tcPr>
          <w:p>
            <w:pPr>
              <w:pStyle w:val="Normal"/>
              <w:rPr>
                <w:rFonts w:ascii="Arial" w:hAnsi="Arial" w:cs="Arial"/>
                <w:color w:val="000000"/>
                <w:lang w:val="en-AU" w:eastAsia="en-US"/>
              </w:rPr>
            </w:pPr>
            <w:r>
              <w:rPr>
                <w:rFonts w:cs="Arial" w:ascii="Arial" w:hAnsi="Arial"/>
                <w:color w:val="000000"/>
                <w:lang w:val="en-AU" w:eastAsia="en-US"/>
              </w:rPr>
              <w:t>28th</w:t>
            </w:r>
          </w:p>
        </w:tc>
        <w:tc>
          <w:tcPr>
            <w:tcW w:w="1529" w:type="dxa"/>
            <w:tcBorders>
              <w:start w:val="single" w:sz="12" w:space="0" w:color="000000"/>
              <w:end w:val="single" w:sz="12" w:space="0" w:color="000000"/>
            </w:tcBorders>
            <w:shd w:fill="FFFFFF" w:val="clear"/>
          </w:tcPr>
          <w:p>
            <w:pPr>
              <w:pStyle w:val="Normal"/>
              <w:jc w:val="end"/>
              <w:rPr>
                <w:rFonts w:ascii="Arial" w:hAnsi="Arial" w:cs="Arial"/>
                <w:color w:val="000000"/>
                <w:lang w:val="en-AU" w:eastAsia="en-US"/>
              </w:rPr>
            </w:pPr>
            <w:r>
              <w:rPr>
                <w:rFonts w:eastAsia="Arial" w:cs="Arial" w:ascii="Arial" w:hAnsi="Arial"/>
                <w:color w:val="000000"/>
                <w:lang w:val="en-AU" w:eastAsia="en-US"/>
              </w:rPr>
              <w:t xml:space="preserve">       </w:t>
            </w:r>
            <w:r>
              <w:rPr>
                <w:rFonts w:cs="Arial" w:ascii="Arial" w:hAnsi="Arial"/>
                <w:color w:val="000000"/>
                <w:lang w:val="en-AU" w:eastAsia="en-US"/>
              </w:rPr>
              <w:t xml:space="preserve">4,488,664 </w:t>
            </w:r>
          </w:p>
        </w:tc>
      </w:tr>
      <w:tr>
        <w:trPr>
          <w:trHeight w:val="262" w:hRule="atLeast"/>
        </w:trPr>
        <w:tc>
          <w:tcPr>
            <w:tcW w:w="1010" w:type="dxa"/>
            <w:tcBorders>
              <w:start w:val="single" w:sz="12" w:space="0" w:color="000000"/>
              <w:bottom w:val="single" w:sz="12" w:space="0" w:color="000000"/>
              <w:end w:val="single" w:sz="12" w:space="0" w:color="000000"/>
            </w:tcBorders>
            <w:shd w:fill="FFFFFF" w:val="clear"/>
          </w:tcPr>
          <w:p>
            <w:pPr>
              <w:pStyle w:val="Normal"/>
              <w:rPr>
                <w:rFonts w:ascii="Arial" w:hAnsi="Arial" w:cs="Arial"/>
                <w:color w:val="000000"/>
                <w:lang w:val="en-AU" w:eastAsia="en-US"/>
              </w:rPr>
            </w:pPr>
            <w:r>
              <w:rPr>
                <w:rFonts w:cs="Arial" w:ascii="Arial" w:hAnsi="Arial"/>
                <w:color w:val="000000"/>
                <w:lang w:val="en-AU" w:eastAsia="en-US"/>
              </w:rPr>
              <w:t>31st</w:t>
            </w:r>
          </w:p>
        </w:tc>
        <w:tc>
          <w:tcPr>
            <w:tcW w:w="1529" w:type="dxa"/>
            <w:tcBorders>
              <w:start w:val="single" w:sz="12" w:space="0" w:color="000000"/>
              <w:bottom w:val="single" w:sz="12" w:space="0" w:color="000000"/>
              <w:end w:val="single" w:sz="12" w:space="0" w:color="000000"/>
            </w:tcBorders>
            <w:shd w:fill="FFFFFF" w:val="clear"/>
          </w:tcPr>
          <w:p>
            <w:pPr>
              <w:pStyle w:val="Normal"/>
              <w:jc w:val="end"/>
              <w:rPr>
                <w:rFonts w:ascii="Arial" w:hAnsi="Arial" w:cs="Arial"/>
                <w:color w:val="000000"/>
                <w:lang w:val="en-AU" w:eastAsia="en-US"/>
              </w:rPr>
            </w:pPr>
            <w:r>
              <w:rPr>
                <w:rFonts w:eastAsia="Arial" w:cs="Arial" w:ascii="Arial" w:hAnsi="Arial"/>
                <w:color w:val="000000"/>
                <w:lang w:val="en-AU" w:eastAsia="en-US"/>
              </w:rPr>
              <w:t xml:space="preserve">       </w:t>
            </w:r>
            <w:r>
              <w:rPr>
                <w:rFonts w:cs="Arial" w:ascii="Arial" w:hAnsi="Arial"/>
                <w:color w:val="000000"/>
                <w:lang w:val="en-AU" w:eastAsia="en-US"/>
              </w:rPr>
              <w:t xml:space="preserve">4,510,880 </w:t>
            </w:r>
          </w:p>
        </w:tc>
      </w:tr>
    </w:tbl>
    <w:p>
      <w:pPr>
        <w:pStyle w:val="Normal"/>
        <w:rPr/>
      </w:pPr>
      <w:r>
        <w:rPr/>
      </w:r>
    </w:p>
    <w:p>
      <w:pPr>
        <w:pStyle w:val="Normal"/>
        <w:rPr/>
      </w:pPr>
      <w:r>
        <w:rPr/>
        <w:t>Missing from this calculation are the following:</w:t>
      </w:r>
    </w:p>
    <w:p>
      <w:pPr>
        <w:pStyle w:val="Normal"/>
        <w:rPr/>
      </w:pPr>
      <w:r>
        <w:rPr/>
      </w:r>
    </w:p>
    <w:p>
      <w:pPr>
        <w:pStyle w:val="Normal"/>
        <w:numPr>
          <w:ilvl w:val="0"/>
          <w:numId w:val="1"/>
        </w:numPr>
        <w:rPr/>
      </w:pPr>
      <w:r>
        <w:rPr/>
        <w:t>Gamma positions for options – it seems that sourcing the MG database may be more straight forward than originally anticipated. A download for the option gamma position may be implemented as of the 2</w:t>
      </w:r>
      <w:r>
        <w:rPr>
          <w:vertAlign w:val="superscript"/>
        </w:rPr>
        <w:t>nd</w:t>
      </w:r>
      <w:r>
        <w:rPr/>
        <w:t xml:space="preserve"> of August. </w:t>
      </w:r>
    </w:p>
    <w:p>
      <w:pPr>
        <w:pStyle w:val="Normal"/>
        <w:numPr>
          <w:ilvl w:val="0"/>
          <w:numId w:val="1"/>
        </w:numPr>
        <w:rPr/>
      </w:pPr>
      <w:r>
        <w:rPr/>
        <w:t>Updated live links for the Gold and Cocao bean positions. The last update for these prices was on the 26</w:t>
      </w:r>
      <w:r>
        <w:rPr>
          <w:vertAlign w:val="superscript"/>
        </w:rPr>
        <w:t>th</w:t>
      </w:r>
      <w:r>
        <w:rPr/>
        <w:t xml:space="preserve"> of July.</w:t>
      </w:r>
    </w:p>
    <w:p>
      <w:pPr>
        <w:pStyle w:val="Normal"/>
        <w:numPr>
          <w:ilvl w:val="0"/>
          <w:numId w:val="1"/>
        </w:numPr>
        <w:rPr/>
      </w:pPr>
      <w:r>
        <w:rPr/>
        <w:t>The calculation of correlations across commodities based on the forward prices corresponding to different maturities.</w:t>
      </w:r>
    </w:p>
    <w:p>
      <w:pPr>
        <w:pStyle w:val="Normal"/>
        <w:numPr>
          <w:ilvl w:val="0"/>
          <w:numId w:val="1"/>
        </w:numPr>
        <w:rPr/>
      </w:pPr>
      <w:r>
        <w:rPr/>
        <w:t xml:space="preserve">The  inclusion of a Copper option position that was held by Enron Europe and flattened out as of today. MG (? – I am unsure of the entity) should now show this position on its books and the delta should be included in the position dowload currently received from MG – tomorrow?.  </w:t>
      </w:r>
    </w:p>
    <w:p>
      <w:pPr>
        <w:pStyle w:val="Normal"/>
        <w:rPr/>
      </w:pPr>
      <w:r>
        <w:rPr/>
      </w:r>
    </w:p>
    <w:p>
      <w:pPr>
        <w:pStyle w:val="Normal"/>
        <w:rPr/>
      </w:pPr>
      <w:r>
        <w:rPr/>
        <w:t xml:space="preserve">Further development of the model is required to complete the following : </w:t>
      </w:r>
    </w:p>
    <w:p>
      <w:pPr>
        <w:pStyle w:val="Normal"/>
        <w:rPr/>
      </w:pPr>
      <w:r>
        <w:rPr/>
      </w:r>
    </w:p>
    <w:p>
      <w:pPr>
        <w:pStyle w:val="Normal"/>
        <w:numPr>
          <w:ilvl w:val="0"/>
          <w:numId w:val="2"/>
        </w:numPr>
        <w:rPr/>
      </w:pPr>
      <w:r>
        <w:rPr/>
        <w:t>Production of VAR number for each entity – at the moment the VaR is split into sub – groupings under the total business VaR according to price curve. It is likely that the P&amp;L will be stated as a function of entity so for the purpose of backtesting the model this is a requirement.</w:t>
      </w:r>
    </w:p>
    <w:p>
      <w:pPr>
        <w:pStyle w:val="Normal"/>
        <w:numPr>
          <w:ilvl w:val="0"/>
          <w:numId w:val="2"/>
        </w:numPr>
        <w:rPr/>
      </w:pPr>
      <w:r>
        <w:rPr/>
        <w:t xml:space="preserve">Further addition of the smaller metals positions eg colbalt, platinum, cadmium etc. This will also include TC/RC for Zinc and Lead.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2000-08-01T17:47:00Z</dcterms:created>
  <dc:creator>ttamarc</dc:creator>
  <dc:description/>
  <dc:language>en-CA</dc:language>
  <cp:lastModifiedBy>khewitt</cp:lastModifiedBy>
  <cp:lastPrinted>2000-08-01T21:17:00Z</cp:lastPrinted>
  <dcterms:modified xsi:type="dcterms:W3CDTF">2000-08-01T18:09:00Z</dcterms:modified>
  <cp:revision>4</cp:revision>
  <dc:subject/>
  <dc:title>Current status of MG Metals’ VAR calculation and model development</dc:title>
</cp:coreProperties>
</file>