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8"/>
        </w:rPr>
        <w:t>ASSIGNMENT AND ASSUMPTION AGREEMENT</w:t>
      </w:r>
    </w:p>
    <w:p>
      <w:pPr>
        <w:pStyle w:val="Normal"/>
        <w:rPr>
          <w:b/>
          <w:sz w:val="22"/>
        </w:rPr>
      </w:pPr>
      <w:r>
        <w:rPr>
          <w:b/>
          <w:sz w:val="22"/>
        </w:rPr>
      </w:r>
    </w:p>
    <w:p>
      <w:pPr>
        <w:pStyle w:val="Normal"/>
        <w:rPr>
          <w:sz w:val="22"/>
        </w:rPr>
      </w:pPr>
      <w:r>
        <w:rPr>
          <w:sz w:val="22"/>
        </w:rPr>
      </w:r>
    </w:p>
    <w:p>
      <w:pPr>
        <w:pStyle w:val="BodyText"/>
        <w:rPr/>
      </w:pPr>
      <w:r>
        <w:rPr/>
        <w:tab/>
        <w:t>This Assignment and Assumption Agreement, dated as of March 28, 2000 ("Assignment Agreement") is by and among STATOIL ENERGY TRADING, INC. ("Assignor") and STATOIL ENERGY SERVICES INC. ("Assignee") and ENRON NORTH AMERICA CORP. (“ENA”).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and ENA have entered into EnronOnline Deal No. 132184 on March 28, 2000 (“Transaction”);</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March 28, 2000 ("Assignment Effective Date"), Assignor hereby assigns and delegates to Assignee all Assignor’s rights, duties and obligations under the Transaction and Assignee hereby accepts such assignment and delegation and assumes such rights, duties and obligations.  As of and from the Assignment Effective Date, Assignor shall be fully released from all rights, duties and obligations under the Transaction.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the Assignor under the and acknowledges that Assignor shall be fully released as of and from the Assignment Effective Date from its rights, duties and obligations under such agreements.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t>STATOIL ENERGY TRADING,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t>STATOIL ENERGY SERVICES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/mnt/main-storage/datasets/enron-docs/doc/statoil_assignment.doc</w:t>
    </w:r>
    <w:r>
      <w:rPr>
        <w:sz w:val="16"/>
        <w:lang w:eastAsia="en-US"/>
      </w:rPr>
      <w:fldChar w:fldCharType="end"/>
    </w:r>
  </w:p>
  <w:p>
    <w:pPr>
      <w:pStyle w:val="Footer"/>
      <w:rPr>
        <w:rStyle w:val="PageNumber"/>
        <w:sz w:val="16"/>
      </w:rPr>
    </w:pPr>
    <w:r>
      <w:rPr>
        <w:sz w:val="16"/>
      </w:rPr>
    </w:r>
  </w:p>
  <w:p>
    <w:pPr>
      <w:pStyle w:val="Footer"/>
      <w:jc w:val="center"/>
      <w:rPr>
        <w:rStyle w:val="PageNumber"/>
        <w:sz w:val="20"/>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2000-03-30T19:01:00Z</dcterms:created>
  <dc:creator>tjones</dc:creator>
  <dc:description/>
  <dc:language>en-CA</dc:language>
  <cp:lastModifiedBy>Tana Jones</cp:lastModifiedBy>
  <cp:lastPrinted>2000-03-31T14:36:00Z</cp:lastPrinted>
  <dcterms:modified xsi:type="dcterms:W3CDTF">2000-03-31T18:22:00Z</dcterms:modified>
  <cp:revision>5</cp:revision>
  <dc:subject/>
  <dc:title>ASSIGNMENT AGREEMENT</dc:title>
</cp:coreProperties>
</file>