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Distributed Generation Template</w:t>
      </w:r>
    </w:p>
    <w:p>
      <w:pPr>
        <w:pStyle w:val="Heading1"/>
        <w:ind w:hanging="0" w:start="0"/>
        <w:rPr/>
      </w:pPr>
      <w:r>
        <w:rPr/>
      </w:r>
    </w:p>
    <w:p>
      <w:pPr>
        <w:pStyle w:val="Heading1"/>
        <w:ind w:hanging="0" w:start="0"/>
        <w:rPr>
          <w:u w:val="single"/>
        </w:rPr>
      </w:pPr>
      <w:r>
        <w:rPr>
          <w:u w:val="single"/>
        </w:rPr>
        <w:t>Illinois</w:t>
      </w:r>
    </w:p>
    <w:p>
      <w:pPr>
        <w:pStyle w:val="Normal"/>
        <w:rPr>
          <w:b/>
          <w:bCs/>
          <w:u w:val="single"/>
        </w:rPr>
      </w:pPr>
      <w:r>
        <w:rPr>
          <w:b/>
          <w:bCs/>
          <w:u w:val="single"/>
        </w:rPr>
      </w:r>
    </w:p>
    <w:p>
      <w:pPr>
        <w:pStyle w:val="Heading3"/>
        <w:ind w:hanging="0" w:start="0"/>
        <w:rPr/>
      </w:pPr>
      <w:r>
        <w:rPr/>
        <w:t>General Rules and Current Regulatory Activity</w:t>
      </w:r>
    </w:p>
    <w:p>
      <w:pPr>
        <w:pStyle w:val="Normal"/>
        <w:rPr>
          <w:b/>
          <w:bCs/>
        </w:rPr>
      </w:pPr>
      <w:r>
        <w:rPr>
          <w:b/>
          <w:bCs/>
        </w:rPr>
      </w:r>
    </w:p>
    <w:p>
      <w:pPr>
        <w:pStyle w:val="BodyText"/>
        <w:rPr/>
      </w:pPr>
      <w:r>
        <w:rPr/>
        <w:t>Illinois Commerce Commission issued a report in March of 2000, “Distributed Resources:  Report and Review of Comments to the Illinois Commerce Commission Electric Policy Committee” which was intended to lead to a working committee to address the role of DR and public policy issues arising therefrom.  The ICC identified the following policy issues: interconnection procedures, standby/backup charges and rate design; grid side or system benefits; system interfaces, incumbent delivery services; market design; and siting/certificates of PCN.</w:t>
      </w:r>
    </w:p>
    <w:p>
      <w:pPr>
        <w:pStyle w:val="BodyText"/>
        <w:rPr/>
      </w:pPr>
      <w:r>
        <w:rPr/>
      </w:r>
    </w:p>
    <w:p>
      <w:pPr>
        <w:pStyle w:val="BodyText"/>
        <w:rPr>
          <w:b/>
          <w:bCs/>
          <w:i/>
          <w:i/>
          <w:iCs/>
        </w:rPr>
      </w:pPr>
      <w:r>
        <w:rPr>
          <w:b/>
          <w:bCs/>
          <w:i/>
          <w:iCs/>
        </w:rPr>
        <w:t>Incentives</w:t>
      </w:r>
    </w:p>
    <w:p>
      <w:pPr>
        <w:pStyle w:val="BodyText"/>
        <w:rPr>
          <w:b/>
          <w:bCs/>
          <w:i/>
          <w:i/>
          <w:iCs/>
        </w:rPr>
      </w:pPr>
      <w:r>
        <w:rPr>
          <w:b/>
          <w:bCs/>
          <w:i/>
          <w:iCs/>
        </w:rPr>
      </w:r>
    </w:p>
    <w:p>
      <w:pPr>
        <w:pStyle w:val="BodyText"/>
        <w:rPr>
          <w:b/>
          <w:bCs/>
          <w:i/>
          <w:i/>
          <w:iCs/>
        </w:rPr>
      </w:pPr>
      <w:r>
        <w:rPr>
          <w:b/>
          <w:bCs/>
          <w:i/>
          <w:iCs/>
        </w:rPr>
        <w:t>Interconnection</w:t>
      </w:r>
    </w:p>
    <w:p>
      <w:pPr>
        <w:pStyle w:val="BodyText"/>
        <w:rPr>
          <w:b/>
          <w:bCs/>
          <w:i/>
          <w:i/>
          <w:iCs/>
        </w:rPr>
      </w:pPr>
      <w:r>
        <w:rPr>
          <w:b/>
          <w:bCs/>
          <w:i/>
          <w:iCs/>
        </w:rPr>
      </w:r>
    </w:p>
    <w:p>
      <w:pPr>
        <w:pStyle w:val="BodyText"/>
        <w:rPr>
          <w:b/>
          <w:bCs/>
          <w:i/>
          <w:i/>
          <w:iCs/>
        </w:rPr>
      </w:pPr>
      <w:r>
        <w:rPr>
          <w:b/>
          <w:bCs/>
          <w:i/>
          <w:iCs/>
        </w:rPr>
        <w:t>Standby Services</w:t>
      </w:r>
    </w:p>
    <w:p>
      <w:pPr>
        <w:pStyle w:val="BodyText"/>
        <w:rPr>
          <w:b/>
          <w:bCs/>
          <w:i/>
          <w:i/>
          <w:iCs/>
        </w:rPr>
      </w:pPr>
      <w:r>
        <w:rPr>
          <w:b/>
          <w:bCs/>
          <w:i/>
          <w:iCs/>
        </w:rPr>
      </w:r>
    </w:p>
    <w:p>
      <w:pPr>
        <w:pStyle w:val="BodyText"/>
        <w:rPr>
          <w:b/>
          <w:bCs/>
          <w:i/>
          <w:i/>
          <w:iCs/>
        </w:rPr>
      </w:pPr>
      <w:r>
        <w:rPr>
          <w:b/>
          <w:bCs/>
          <w:i/>
          <w:iCs/>
        </w:rPr>
        <w:t>Exit Fees</w:t>
      </w:r>
    </w:p>
    <w:p>
      <w:pPr>
        <w:pStyle w:val="BodyText"/>
        <w:rPr>
          <w:b/>
          <w:bCs/>
          <w:i/>
          <w:i/>
          <w:iCs/>
        </w:rPr>
      </w:pPr>
      <w:r>
        <w:rPr>
          <w:b/>
          <w:bCs/>
          <w:i/>
          <w:iCs/>
        </w:rPr>
      </w:r>
    </w:p>
    <w:p>
      <w:pPr>
        <w:pStyle w:val="BodyText"/>
        <w:rPr>
          <w:b/>
          <w:bCs/>
          <w:i/>
          <w:i/>
          <w:iCs/>
        </w:rPr>
      </w:pPr>
      <w:r>
        <w:rPr>
          <w:b/>
          <w:bCs/>
          <w:i/>
          <w:iCs/>
        </w:rPr>
        <w:t>Siting and Permitting Issues:</w:t>
      </w:r>
    </w:p>
    <w:p>
      <w:pPr>
        <w:pStyle w:val="BodyText"/>
        <w:rPr>
          <w:b/>
          <w:bCs/>
          <w:i/>
          <w:i/>
          <w:iCs/>
        </w:rPr>
      </w:pPr>
      <w:r>
        <w:rPr>
          <w:b/>
          <w:bCs/>
          <w:i/>
          <w:iCs/>
        </w:rPr>
      </w:r>
    </w:p>
    <w:p>
      <w:pPr>
        <w:pStyle w:val="BodyText"/>
        <w:rPr>
          <w:b/>
          <w:bCs/>
        </w:rPr>
      </w:pPr>
      <w:r>
        <w:rPr>
          <w:b/>
          <w:bCs/>
        </w:rPr>
        <w:t>New York</w:t>
      </w:r>
    </w:p>
    <w:p>
      <w:pPr>
        <w:pStyle w:val="Normal"/>
        <w:jc w:val="both"/>
        <w:rPr>
          <w:b/>
          <w:bCs/>
        </w:rPr>
      </w:pPr>
      <w:r>
        <w:rPr>
          <w:b/>
          <w:bCs/>
        </w:rPr>
      </w:r>
    </w:p>
    <w:p>
      <w:pPr>
        <w:pStyle w:val="Heading3"/>
        <w:ind w:hanging="0" w:start="0"/>
        <w:rPr/>
      </w:pPr>
      <w:r>
        <w:rPr/>
        <w:t>General Rules and Current Regulatory Activity</w:t>
      </w:r>
    </w:p>
    <w:p>
      <w:pPr>
        <w:pStyle w:val="Normal"/>
        <w:jc w:val="both"/>
        <w:rPr/>
      </w:pPr>
      <w:r>
        <w:rPr/>
      </w:r>
    </w:p>
    <w:p>
      <w:pPr>
        <w:pStyle w:val="Normal"/>
        <w:jc w:val="both"/>
        <w:rPr/>
      </w:pPr>
      <w:r>
        <w:rPr/>
      </w:r>
    </w:p>
    <w:p>
      <w:pPr>
        <w:pStyle w:val="Normal"/>
        <w:jc w:val="both"/>
        <w:rPr/>
      </w:pPr>
      <w:r>
        <w:rPr/>
        <w:t>Opinion and Order Adopting Standard Interconnection Requirements for Distributed Generation Units, issued Dec. 31, 1999.  Opinion No. 99-13, Case 94-E-0952.  Applicable to new distributed generation facilities with a namplate rating of 300 kVa or less connected in parallel to radial distribution feeders.  Rule establishes application process, interconnection requirements, standardized contract, and revised photovoltaic interconnection standards.</w:t>
      </w:r>
    </w:p>
    <w:p>
      <w:pPr>
        <w:pStyle w:val="Normal"/>
        <w:jc w:val="both"/>
        <w:rPr/>
      </w:pPr>
      <w:r>
        <w:rPr/>
      </w:r>
    </w:p>
    <w:p>
      <w:pPr>
        <w:pStyle w:val="Heading4"/>
        <w:ind w:hanging="0" w:start="0"/>
        <w:rPr/>
      </w:pPr>
      <w:r>
        <w:rPr/>
        <w:t>Interconnection</w:t>
      </w:r>
    </w:p>
    <w:p>
      <w:pPr>
        <w:pStyle w:val="Normal"/>
        <w:jc w:val="both"/>
        <w:rPr/>
      </w:pPr>
      <w:r>
        <w:rPr/>
      </w:r>
    </w:p>
    <w:p>
      <w:pPr>
        <w:pStyle w:val="Normal"/>
        <w:jc w:val="both"/>
        <w:rPr/>
      </w:pPr>
      <w:r>
        <w:rPr/>
        <w:t>A set of proposed amendments to the Standardized Interconnection Requirements was issued on June 23, 2000.</w:t>
      </w:r>
    </w:p>
    <w:p>
      <w:pPr>
        <w:pStyle w:val="Normal"/>
        <w:jc w:val="both"/>
        <w:rPr/>
      </w:pPr>
      <w:r>
        <w:rPr/>
      </w:r>
    </w:p>
    <w:p>
      <w:pPr>
        <w:pStyle w:val="Heading4"/>
        <w:ind w:hanging="0" w:start="0"/>
        <w:rPr/>
      </w:pPr>
      <w:r>
        <w:rPr/>
        <w:t>Incentives</w:t>
      </w:r>
    </w:p>
    <w:p>
      <w:pPr>
        <w:pStyle w:val="Normal"/>
        <w:jc w:val="both"/>
        <w:rPr/>
      </w:pPr>
      <w:r>
        <w:rPr/>
      </w:r>
    </w:p>
    <w:p>
      <w:pPr>
        <w:pStyle w:val="Normal"/>
        <w:jc w:val="both"/>
        <w:rPr/>
      </w:pPr>
      <w:r>
        <w:rPr/>
        <w:t>New York State income tax credits are available for renewable PV electric generating facilities.  When the resident’s requirement is less than power generated, surplus electricity will be credited against the next bill.  (Is this residential only?)  Over an annual period, if the customer-generator’s credits exceed usage, the utility pays for the accumulated credit.  Customers can self-generate up to 10 kWh of clean PV and sell to “neighbors and friends.”</w:t>
      </w:r>
    </w:p>
    <w:p>
      <w:pPr>
        <w:pStyle w:val="Normal"/>
        <w:jc w:val="both"/>
        <w:rPr/>
      </w:pPr>
      <w:r>
        <w:rPr/>
      </w:r>
    </w:p>
    <w:p>
      <w:pPr>
        <w:pStyle w:val="Heading2"/>
        <w:ind w:hanging="0" w:start="0"/>
        <w:rPr/>
      </w:pPr>
      <w:r>
        <w:rPr/>
        <w:t>Texas</w:t>
      </w:r>
    </w:p>
    <w:p>
      <w:pPr>
        <w:pStyle w:val="Normal"/>
        <w:jc w:val="both"/>
        <w:rPr>
          <w:b/>
          <w:bCs/>
        </w:rPr>
      </w:pPr>
      <w:r>
        <w:rPr>
          <w:b/>
          <w:bCs/>
        </w:rPr>
      </w:r>
    </w:p>
    <w:p>
      <w:pPr>
        <w:pStyle w:val="Heading3"/>
        <w:ind w:hanging="0" w:start="0"/>
        <w:rPr/>
      </w:pPr>
      <w:r>
        <w:rPr/>
        <w:t>General Rules and Current Regulatory Activity</w:t>
      </w:r>
    </w:p>
    <w:p>
      <w:pPr>
        <w:pStyle w:val="Normal"/>
        <w:jc w:val="both"/>
        <w:rPr>
          <w:b/>
          <w:bCs/>
        </w:rPr>
      </w:pPr>
      <w:r>
        <w:rPr>
          <w:b/>
          <w:bCs/>
        </w:rPr>
      </w:r>
    </w:p>
    <w:p>
      <w:pPr>
        <w:pStyle w:val="Normal"/>
        <w:jc w:val="both"/>
        <w:rPr/>
      </w:pPr>
      <w:r>
        <w:rPr/>
        <w:t>On Feb. 4, 1999, the PUCT issued 1999 Interconnection Guidelines for Distributed Generation in Texas.  The guidelines provide a starting point for negotiations between the owner/operator of the facility and the electric utility.  Size is between 60 kW and 10 mW.  DG operating in parallel with the distribution utility will be required to operate and maintain equipment such that there is no adverse effect on other customers or the utility’s abilty to maintain voltage and frequency in compliant with Power Quality standards.</w:t>
      </w:r>
    </w:p>
    <w:p>
      <w:pPr>
        <w:pStyle w:val="Normal"/>
        <w:jc w:val="both"/>
        <w:rPr/>
      </w:pPr>
      <w:r>
        <w:rPr/>
      </w:r>
    </w:p>
    <w:p>
      <w:pPr>
        <w:pStyle w:val="Normal"/>
        <w:jc w:val="both"/>
        <w:rPr/>
      </w:pPr>
      <w:r>
        <w:rPr/>
        <w:t>Net metering is under review in Project 19693, Review and Repeal of Sec. 23.66 and Proposed new Sec. 25.242 relating to Arrangements between Qualifying Facilities and Electric Utilities.</w:t>
      </w:r>
    </w:p>
    <w:p>
      <w:pPr>
        <w:pStyle w:val="Normal"/>
        <w:jc w:val="both"/>
        <w:rPr/>
      </w:pPr>
      <w:r>
        <w:rPr/>
      </w:r>
    </w:p>
    <w:p>
      <w:pPr>
        <w:pStyle w:val="Heading4"/>
        <w:ind w:hanging="0" w:start="0"/>
        <w:rPr/>
      </w:pPr>
      <w:r>
        <w:rPr/>
        <w:t>Siting and Permit Issues</w:t>
      </w:r>
    </w:p>
    <w:p>
      <w:pPr>
        <w:pStyle w:val="Normal"/>
        <w:jc w:val="both"/>
        <w:rPr/>
      </w:pPr>
      <w:r>
        <w:rPr/>
      </w:r>
    </w:p>
    <w:p>
      <w:pPr>
        <w:pStyle w:val="Normal"/>
        <w:jc w:val="both"/>
        <w:rPr/>
      </w:pPr>
      <w:r>
        <w:rPr/>
        <w:t>Environmental permits and Texas Natural Resource Conservation Commission regulation, see Chapter 106, Exemptions from Permitting, Subchapter W, Turbines and Engines, including Sec. 106.511 relating to portable and emergency engines and turbines and Sec. 106.512, relating to stationary engines and turbines.</w:t>
      </w:r>
    </w:p>
    <w:p>
      <w:pPr>
        <w:pStyle w:val="Normal"/>
        <w:jc w:val="both"/>
        <w:rPr/>
      </w:pPr>
      <w:r>
        <w:rPr/>
        <w:t>PUCT has identified development of a standardized contract as a priority for future investigation.</w:t>
      </w:r>
    </w:p>
    <w:p>
      <w:pPr>
        <w:pStyle w:val="Normal"/>
        <w:jc w:val="both"/>
        <w:rPr/>
      </w:pPr>
      <w:r>
        <w:rPr/>
      </w:r>
    </w:p>
    <w:p>
      <w:pPr>
        <w:pStyle w:val="Heading4"/>
        <w:ind w:hanging="0" w:start="0"/>
        <w:rPr/>
      </w:pPr>
      <w:r>
        <w:rPr/>
        <w:t>Interconnection</w:t>
      </w:r>
    </w:p>
    <w:p>
      <w:pPr>
        <w:pStyle w:val="Normal"/>
        <w:jc w:val="both"/>
        <w:rPr/>
      </w:pPr>
      <w:r>
        <w:rPr/>
      </w:r>
    </w:p>
    <w:p>
      <w:pPr>
        <w:pStyle w:val="Normal"/>
        <w:jc w:val="both"/>
        <w:rPr/>
      </w:pPr>
      <w:r>
        <w:rPr/>
        <w:t xml:space="preserve">DG under 10 MW connected at distribution voltage and provided by companies not affiliated with the utility may be treated as a demand-side management resource. </w:t>
      </w:r>
    </w:p>
    <w:p>
      <w:pPr>
        <w:pStyle w:val="Normal"/>
        <w:jc w:val="both"/>
        <w:rPr/>
      </w:pPr>
      <w:r>
        <w:rPr/>
      </w:r>
    </w:p>
    <w:p>
      <w:pPr>
        <w:pStyle w:val="Normal"/>
        <w:jc w:val="both"/>
        <w:rPr/>
      </w:pPr>
      <w:r>
        <w:rPr/>
        <w:t>Pre-certification of DG Units per Rule 25.211(c)(12)(k), plans to have document to submit to PUCT for approval in 10/00.</w:t>
      </w:r>
    </w:p>
    <w:p>
      <w:pPr>
        <w:pStyle w:val="Normal"/>
        <w:jc w:val="both"/>
        <w:rPr/>
      </w:pPr>
      <w:r>
        <w:rPr/>
      </w:r>
    </w:p>
    <w:p>
      <w:pPr>
        <w:pStyle w:val="Heading2"/>
        <w:ind w:hanging="0" w:start="0"/>
        <w:rPr/>
      </w:pPr>
      <w:r>
        <w:rPr/>
        <w:t>Michigan</w:t>
      </w:r>
    </w:p>
    <w:p>
      <w:pPr>
        <w:pStyle w:val="Normal"/>
        <w:jc w:val="both"/>
        <w:rPr>
          <w:b/>
          <w:bCs/>
        </w:rPr>
      </w:pPr>
      <w:r>
        <w:rPr>
          <w:b/>
          <w:bCs/>
        </w:rPr>
      </w:r>
    </w:p>
    <w:p>
      <w:pPr>
        <w:pStyle w:val="Heading3"/>
        <w:ind w:hanging="0" w:start="0"/>
        <w:rPr/>
      </w:pPr>
      <w:r>
        <w:rPr/>
        <w:t>General Rules and Current Regulatory Activity</w:t>
      </w:r>
    </w:p>
    <w:p>
      <w:pPr>
        <w:pStyle w:val="Normal"/>
        <w:jc w:val="both"/>
        <w:rPr>
          <w:b/>
          <w:bCs/>
        </w:rPr>
      </w:pPr>
      <w:r>
        <w:rPr>
          <w:b/>
          <w:bCs/>
        </w:rPr>
      </w:r>
    </w:p>
    <w:p>
      <w:pPr>
        <w:pStyle w:val="BodyText"/>
        <w:rPr/>
      </w:pPr>
      <w:r>
        <w:rPr/>
        <w:t>Michigan PSC issued an Order Initiating Proceeding on June 5, 2000, on Interconnection of Merchant Plants.  Standards shall not require that a utility interconnect with generating facilities with a capacity of less than 100 kW for parallel operations.  Standards shall be consistent with generally accepted industry practices and guidelines and shall be established to ensure reliability of electric service and the safety of customers, employees, and public.  Merchant plant shall be responsible for all costs associated with interconnection unless Commission has otherwise allocated costs and provided for cost recovery.</w:t>
      </w:r>
    </w:p>
    <w:p>
      <w:pPr>
        <w:pStyle w:val="Normal"/>
        <w:jc w:val="both"/>
        <w:rPr/>
      </w:pPr>
      <w:r>
        <w:rPr/>
      </w:r>
    </w:p>
    <w:p>
      <w:pPr>
        <w:pStyle w:val="Heading2"/>
        <w:ind w:hanging="0" w:start="0"/>
        <w:rPr/>
      </w:pPr>
      <w:r>
        <w:rPr/>
        <w:t>Ohio</w:t>
      </w:r>
    </w:p>
    <w:p>
      <w:pPr>
        <w:pStyle w:val="Normal"/>
        <w:jc w:val="both"/>
        <w:rPr>
          <w:b/>
          <w:bCs/>
        </w:rPr>
      </w:pPr>
      <w:r>
        <w:rPr>
          <w:b/>
          <w:bCs/>
        </w:rPr>
      </w:r>
    </w:p>
    <w:p>
      <w:pPr>
        <w:pStyle w:val="Heading3"/>
        <w:ind w:hanging="0" w:start="0"/>
        <w:rPr/>
      </w:pPr>
      <w:r>
        <w:rPr/>
        <w:t>General Rules and Current Regulatory Activity</w:t>
      </w:r>
    </w:p>
    <w:p>
      <w:pPr>
        <w:pStyle w:val="Normal"/>
        <w:jc w:val="both"/>
        <w:rPr>
          <w:b/>
          <w:bCs/>
        </w:rPr>
      </w:pPr>
      <w:r>
        <w:rPr>
          <w:b/>
          <w:bCs/>
        </w:rPr>
      </w:r>
    </w:p>
    <w:p>
      <w:pPr>
        <w:pStyle w:val="Normal"/>
        <w:jc w:val="both"/>
        <w:rPr/>
      </w:pPr>
      <w:r>
        <w:rPr/>
        <w:t xml:space="preserve">Utilities in Ohio are required to provide a contract/tariff for net metering.  There is no size limitation on the generator.  In the aggregate, however, the utility is not required to offer net metering for more that 1% of its aggregate customer peak demand in the state.  </w:t>
      </w:r>
    </w:p>
    <w:p>
      <w:pPr>
        <w:pStyle w:val="Normal"/>
        <w:jc w:val="both"/>
        <w:rPr/>
      </w:pPr>
      <w:r>
        <w:rPr/>
      </w:r>
    </w:p>
    <w:p>
      <w:pPr>
        <w:pStyle w:val="Heading4"/>
        <w:ind w:hanging="0" w:start="0"/>
        <w:rPr/>
      </w:pPr>
      <w:r>
        <w:rPr/>
        <w:t>Interconnection</w:t>
      </w:r>
    </w:p>
    <w:p>
      <w:pPr>
        <w:pStyle w:val="Normal"/>
        <w:jc w:val="both"/>
        <w:rPr/>
      </w:pPr>
      <w:r>
        <w:rPr/>
      </w:r>
    </w:p>
    <w:p>
      <w:pPr>
        <w:pStyle w:val="Normal"/>
        <w:jc w:val="both"/>
        <w:rPr/>
      </w:pPr>
      <w:r>
        <w:rPr/>
        <w:t>Interconnection standards are being developed.</w:t>
      </w:r>
    </w:p>
    <w:p>
      <w:pPr>
        <w:pStyle w:val="Normal"/>
        <w:jc w:val="both"/>
        <w:rPr>
          <w:b/>
          <w:bCs/>
        </w:rPr>
      </w:pPr>
      <w:r>
        <w:rPr>
          <w:b/>
          <w:bCs/>
        </w:rPr>
      </w:r>
    </w:p>
    <w:p>
      <w:pPr>
        <w:pStyle w:val="Heading4"/>
        <w:ind w:hanging="0" w:start="0"/>
        <w:rPr/>
      </w:pPr>
      <w:r>
        <w:rPr/>
        <w:t>Siting and Permitting Issues</w:t>
      </w:r>
    </w:p>
    <w:p>
      <w:pPr>
        <w:pStyle w:val="Normal"/>
        <w:jc w:val="both"/>
        <w:rPr>
          <w:b/>
          <w:bCs/>
        </w:rPr>
      </w:pPr>
      <w:r>
        <w:rPr>
          <w:b/>
          <w:bCs/>
        </w:rPr>
      </w:r>
    </w:p>
    <w:p>
      <w:pPr>
        <w:pStyle w:val="BodyText"/>
        <w:rPr/>
      </w:pPr>
      <w:r>
        <w:rPr/>
        <w:t xml:space="preserve">Ohio Power Siting Board certifcates of environmental compatibility and public need before construction of any </w:t>
      </w:r>
      <w:r>
        <w:rPr>
          <w:i/>
          <w:iCs/>
        </w:rPr>
        <w:t>major</w:t>
      </w:r>
      <w:r>
        <w:rPr/>
        <w:t xml:space="preserve"> utility facility in Ohio.</w:t>
      </w:r>
    </w:p>
    <w:p>
      <w:pPr>
        <w:pStyle w:val="Normal"/>
        <w:jc w:val="both"/>
        <w:rPr/>
      </w:pPr>
      <w:r>
        <w:rPr/>
      </w:r>
    </w:p>
    <w:p>
      <w:pPr>
        <w:pStyle w:val="Heading2"/>
        <w:ind w:hanging="0" w:start="0"/>
        <w:rPr/>
      </w:pPr>
      <w:r>
        <w:rPr/>
        <w:t>Florida</w:t>
      </w:r>
    </w:p>
    <w:p>
      <w:pPr>
        <w:pStyle w:val="Normal"/>
        <w:jc w:val="both"/>
        <w:rPr>
          <w:b/>
          <w:bCs/>
        </w:rPr>
      </w:pPr>
      <w:r>
        <w:rPr>
          <w:b/>
          <w:bCs/>
        </w:rPr>
      </w:r>
    </w:p>
    <w:p>
      <w:pPr>
        <w:pStyle w:val="Heading2"/>
        <w:ind w:hanging="0" w:start="0"/>
        <w:rPr/>
      </w:pPr>
      <w:r>
        <w:rPr/>
        <w:t>California</w:t>
      </w:r>
    </w:p>
    <w:p>
      <w:pPr>
        <w:pStyle w:val="Normal"/>
        <w:jc w:val="both"/>
        <w:rPr>
          <w:b/>
          <w:bCs/>
        </w:rPr>
      </w:pPr>
      <w:r>
        <w:rPr>
          <w:b/>
          <w:bCs/>
        </w:rPr>
      </w:r>
    </w:p>
    <w:p>
      <w:pPr>
        <w:pStyle w:val="Normal"/>
        <w:jc w:val="both"/>
        <w:rPr>
          <w:b/>
          <w:bCs/>
          <w:i/>
          <w:i/>
          <w:iCs/>
        </w:rPr>
      </w:pPr>
      <w:r>
        <w:rPr>
          <w:b/>
          <w:bCs/>
          <w:i/>
          <w:iCs/>
        </w:rPr>
        <w:t>Incentives</w:t>
      </w:r>
    </w:p>
    <w:p>
      <w:pPr>
        <w:pStyle w:val="Normal"/>
        <w:jc w:val="both"/>
        <w:rPr>
          <w:b/>
          <w:bCs/>
          <w:i/>
          <w:i/>
          <w:iCs/>
        </w:rPr>
      </w:pPr>
      <w:r>
        <w:rPr>
          <w:b/>
          <w:bCs/>
          <w:i/>
          <w:iCs/>
        </w:rPr>
      </w:r>
    </w:p>
    <w:p>
      <w:pPr>
        <w:pStyle w:val="Normal"/>
        <w:jc w:val="both"/>
        <w:rPr/>
      </w:pPr>
      <w:r>
        <w:rPr/>
        <w:t xml:space="preserve">Renewable Energy Trust fund offers payments through the emerging technology program, offering buydowns from $3 to $1 per watt.  Guidelines can be found at </w:t>
      </w:r>
      <w:hyperlink r:id="rId2">
        <w:r>
          <w:rPr>
            <w:rStyle w:val="Hyperlink"/>
          </w:rPr>
          <w:t>www.energy.ca.gov/renewables/documents/500-97-011V3/pdf</w:t>
        </w:r>
      </w:hyperlink>
      <w:r>
        <w:rPr/>
        <w:t>.  Generator must use approved technology.  There is also a peak shaving program</w:t>
      </w:r>
    </w:p>
    <w:p>
      <w:pPr>
        <w:pStyle w:val="Normal"/>
        <w:jc w:val="both"/>
        <w:rPr>
          <w:b/>
          <w:bCs/>
        </w:rPr>
      </w:pPr>
      <w:r>
        <w:rPr>
          <w:b/>
          <w:bCs/>
        </w:rPr>
      </w:r>
    </w:p>
    <w:p>
      <w:pPr>
        <w:pStyle w:val="Normal"/>
        <w:jc w:val="both"/>
        <w:rPr>
          <w:b/>
          <w:bCs/>
        </w:rPr>
      </w:pPr>
      <w:r>
        <w:rPr>
          <w:b/>
          <w:bCs/>
        </w:rPr>
        <w:t>Pennsylvania</w:t>
      </w:r>
    </w:p>
    <w:sectPr>
      <w:headerReference w:type="default" r:id="rId3"/>
      <w:headerReference w:type="first" r:id="rId4"/>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both"/>
      <w:outlineLvl w:val="1"/>
    </w:pPr>
    <w:rPr>
      <w:b/>
      <w:bCs/>
    </w:rPr>
  </w:style>
  <w:style w:type="paragraph" w:styleId="Heading3">
    <w:name w:val="heading 3"/>
    <w:basedOn w:val="Normal"/>
    <w:next w:val="Normal"/>
    <w:qFormat/>
    <w:pPr>
      <w:keepNext w:val="true"/>
      <w:numPr>
        <w:ilvl w:val="2"/>
        <w:numId w:val="1"/>
      </w:numPr>
      <w:outlineLvl w:val="2"/>
    </w:pPr>
    <w:rPr>
      <w:b/>
      <w:bCs/>
      <w:i/>
      <w:iCs/>
    </w:rPr>
  </w:style>
  <w:style w:type="paragraph" w:styleId="Heading4">
    <w:name w:val="heading 4"/>
    <w:basedOn w:val="Normal"/>
    <w:next w:val="Normal"/>
    <w:qFormat/>
    <w:pPr>
      <w:keepNext w:val="true"/>
      <w:numPr>
        <w:ilvl w:val="3"/>
        <w:numId w:val="1"/>
      </w:numPr>
      <w:jc w:val="both"/>
      <w:outlineLvl w:val="3"/>
    </w:pPr>
    <w:rPr>
      <w:b/>
      <w:bCs/>
      <w:i/>
      <w:iC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ergy.ca.gov/renewables/documents/500-97-011V3/pdf"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2000-10-19T13:24:00Z</dcterms:created>
  <dc:creator>llawner</dc:creator>
  <dc:description/>
  <dc:language>en-CA</dc:language>
  <cp:lastModifiedBy>llawner</cp:lastModifiedBy>
  <dcterms:modified xsi:type="dcterms:W3CDTF">2000-10-20T13:51:00Z</dcterms:modified>
  <cp:revision>4</cp:revision>
  <dc:subject/>
  <dc:title>Illinois</dc:title>
</cp:coreProperties>
</file>