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numPr>
          <w:ilvl w:val="0"/>
          <w:numId w:val="0"/>
        </w:numPr>
        <w:tabs>
          <w:tab w:val="clear" w:pos="4153"/>
          <w:tab w:val="clear" w:pos="8306"/>
          <w:tab w:val="left" w:pos="9090" w:leader="none"/>
        </w:tabs>
        <w:jc w:val="center"/>
        <w:outlineLvl w:val="0"/>
        <w:rPr>
          <w:rFonts w:ascii="Arial" w:hAnsi="Arial" w:cs="Arial"/>
          <w:b/>
          <w:bCs/>
          <w:sz w:val="52"/>
        </w:rPr>
      </w:pPr>
      <w:r>
        <w:rPr>
          <w:rFonts w:cs="Arial" w:ascii="Arial" w:hAnsi="Arial"/>
          <w:b/>
          <w:bCs/>
          <w:sz w:val="52"/>
        </w:rPr>
      </w:r>
    </w:p>
    <w:p>
      <w:pPr>
        <w:pStyle w:val="Header"/>
        <w:numPr>
          <w:ilvl w:val="0"/>
          <w:numId w:val="0"/>
        </w:numPr>
        <w:tabs>
          <w:tab w:val="clear" w:pos="4153"/>
          <w:tab w:val="clear" w:pos="8306"/>
          <w:tab w:val="left" w:pos="9090" w:leader="none"/>
        </w:tabs>
        <w:jc w:val="center"/>
        <w:outlineLvl w:val="0"/>
        <w:rPr>
          <w:rFonts w:ascii="Arial" w:hAnsi="Arial" w:cs="Arial"/>
          <w:b/>
          <w:bCs/>
          <w:sz w:val="52"/>
        </w:rPr>
      </w:pPr>
      <w:r>
        <w:rPr>
          <w:rFonts w:cs="Arial" w:ascii="Arial" w:hAnsi="Arial"/>
          <w:b/>
          <w:bCs/>
          <w:sz w:val="52"/>
        </w:rPr>
      </w:r>
    </w:p>
    <w:p>
      <w:pPr>
        <w:pStyle w:val="Header"/>
        <w:numPr>
          <w:ilvl w:val="0"/>
          <w:numId w:val="0"/>
        </w:numPr>
        <w:tabs>
          <w:tab w:val="clear" w:pos="4153"/>
          <w:tab w:val="clear" w:pos="8306"/>
          <w:tab w:val="left" w:pos="9090" w:leader="none"/>
        </w:tabs>
        <w:jc w:val="center"/>
        <w:outlineLvl w:val="0"/>
        <w:rPr>
          <w:rFonts w:ascii="Arial" w:hAnsi="Arial" w:cs="Arial"/>
          <w:b/>
          <w:bCs/>
          <w:sz w:val="52"/>
        </w:rPr>
      </w:pPr>
      <w:r>
        <w:rPr>
          <w:rFonts w:cs="Arial" w:ascii="Arial" w:hAnsi="Arial"/>
          <w:b/>
          <w:bCs/>
          <w:sz w:val="52"/>
        </w:rPr>
      </w:r>
    </w:p>
    <w:p>
      <w:pPr>
        <w:pStyle w:val="Header"/>
        <w:numPr>
          <w:ilvl w:val="0"/>
          <w:numId w:val="0"/>
        </w:numPr>
        <w:tabs>
          <w:tab w:val="clear" w:pos="4153"/>
          <w:tab w:val="clear" w:pos="8306"/>
          <w:tab w:val="left" w:pos="9090" w:leader="none"/>
        </w:tabs>
        <w:jc w:val="center"/>
        <w:outlineLvl w:val="0"/>
        <w:rPr>
          <w:rFonts w:ascii="Arial" w:hAnsi="Arial" w:cs="Arial"/>
          <w:b/>
          <w:bCs/>
          <w:sz w:val="52"/>
        </w:rPr>
      </w:pPr>
      <w:r>
        <w:rPr>
          <w:rFonts w:cs="Arial" w:ascii="Arial" w:hAnsi="Arial"/>
          <w:b/>
          <w:bCs/>
          <w:sz w:val="52"/>
        </w:rPr>
      </w:r>
    </w:p>
    <w:p>
      <w:pPr>
        <w:pStyle w:val="Header"/>
        <w:numPr>
          <w:ilvl w:val="0"/>
          <w:numId w:val="0"/>
        </w:numPr>
        <w:tabs>
          <w:tab w:val="clear" w:pos="4153"/>
          <w:tab w:val="clear" w:pos="8306"/>
          <w:tab w:val="left" w:pos="9090" w:leader="none"/>
        </w:tabs>
        <w:jc w:val="center"/>
        <w:outlineLvl w:val="0"/>
        <w:rPr>
          <w:rFonts w:ascii="Arial" w:hAnsi="Arial" w:cs="Arial"/>
          <w:b/>
          <w:bCs/>
          <w:sz w:val="52"/>
        </w:rPr>
      </w:pPr>
      <w:r>
        <w:rPr>
          <w:rFonts w:cs="Arial" w:ascii="Arial" w:hAnsi="Arial"/>
          <w:b/>
          <w:bCs/>
          <w:sz w:val="52"/>
        </w:rPr>
        <w:t>Gas Fundamentals</w:t>
      </w:r>
    </w:p>
    <w:p>
      <w:pPr>
        <w:pStyle w:val="Header"/>
        <w:numPr>
          <w:ilvl w:val="0"/>
          <w:numId w:val="0"/>
        </w:numPr>
        <w:tabs>
          <w:tab w:val="clear" w:pos="4153"/>
          <w:tab w:val="clear" w:pos="8306"/>
          <w:tab w:val="left" w:pos="9090" w:leader="none"/>
        </w:tabs>
        <w:jc w:val="center"/>
        <w:outlineLvl w:val="0"/>
        <w:rPr>
          <w:rFonts w:ascii="Arial" w:hAnsi="Arial" w:cs="Arial"/>
          <w:sz w:val="40"/>
        </w:rPr>
      </w:pPr>
      <w:r>
        <w:rPr>
          <w:rFonts w:cs="Arial" w:ascii="Arial" w:hAnsi="Arial"/>
          <w:sz w:val="40"/>
        </w:rPr>
        <w:t>NETCO Start-up Plan</w:t>
      </w:r>
    </w:p>
    <w:p>
      <w:pPr>
        <w:pStyle w:val="Header"/>
        <w:numPr>
          <w:ilvl w:val="0"/>
          <w:numId w:val="0"/>
        </w:numPr>
        <w:tabs>
          <w:tab w:val="clear" w:pos="4153"/>
          <w:tab w:val="clear" w:pos="8306"/>
        </w:tabs>
        <w:jc w:val="center"/>
        <w:outlineLvl w:val="0"/>
        <w:rPr>
          <w:rFonts w:ascii="Arial" w:hAnsi="Arial" w:cs="Arial"/>
          <w:sz w:val="32"/>
        </w:rPr>
      </w:pPr>
      <w:r>
        <w:rPr>
          <w:rFonts w:cs="Arial" w:ascii="Arial" w:hAnsi="Arial"/>
          <w:sz w:val="32"/>
        </w:rPr>
      </w:r>
    </w:p>
    <w:p>
      <w:pPr>
        <w:pStyle w:val="Normal"/>
        <w:jc w:val="center"/>
        <w:rPr>
          <w:rFonts w:ascii="Arial" w:hAnsi="Arial" w:cs="Arial"/>
          <w:sz w:val="36"/>
        </w:rPr>
      </w:pPr>
      <w:r>
        <w:rPr>
          <w:rFonts w:cs="Arial" w:ascii="Arial" w:hAnsi="Arial"/>
          <w:sz w:val="36"/>
        </w:rPr>
      </w:r>
    </w:p>
    <w:p>
      <w:pPr>
        <w:pStyle w:val="Normal"/>
        <w:jc w:val="center"/>
        <w:rPr>
          <w:rFonts w:ascii="Arial" w:hAnsi="Arial" w:cs="Arial"/>
          <w:sz w:val="48"/>
        </w:rPr>
      </w:pPr>
      <w:r>
        <w:rPr>
          <w:rFonts w:cs="Arial" w:ascii="Arial" w:hAnsi="Arial"/>
          <w:sz w:val="48"/>
        </w:rPr>
      </w:r>
    </w:p>
    <w:p>
      <w:pPr>
        <w:pStyle w:val="Normal"/>
        <w:jc w:val="center"/>
        <w:rPr>
          <w:rFonts w:ascii="Arial" w:hAnsi="Arial" w:cs="Arial"/>
          <w:sz w:val="48"/>
        </w:rPr>
      </w:pPr>
      <w:r>
        <w:rPr>
          <w:rFonts w:cs="Arial" w:ascii="Arial" w:hAnsi="Arial"/>
          <w:sz w:val="48"/>
        </w:rPr>
      </w:r>
    </w:p>
    <w:p>
      <w:pPr>
        <w:pStyle w:val="Normal"/>
        <w:jc w:val="center"/>
        <w:rPr>
          <w:rFonts w:ascii="Arial" w:hAnsi="Arial" w:cs="Arial"/>
          <w:sz w:val="48"/>
        </w:rPr>
      </w:pPr>
      <w:r>
        <w:rPr>
          <w:rFonts w:cs="Arial" w:ascii="Arial" w:hAnsi="Arial"/>
          <w:sz w:val="48"/>
        </w:rPr>
      </w:r>
    </w:p>
    <w:p>
      <w:pPr>
        <w:pStyle w:val="Normal"/>
        <w:jc w:val="center"/>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r>
        <mc:AlternateContent>
          <mc:Choice Requires="wps">
            <w:drawing>
              <wp:anchor behindDoc="0" distT="0" distB="0" distL="114300" distR="114300" simplePos="0" locked="0" layoutInCell="0" allowOverlap="1" relativeHeight="2">
                <wp:simplePos x="0" y="0"/>
                <wp:positionH relativeFrom="page">
                  <wp:posOffset>1189355</wp:posOffset>
                </wp:positionH>
                <wp:positionV relativeFrom="paragraph">
                  <wp:posOffset>635</wp:posOffset>
                </wp:positionV>
                <wp:extent cx="1645920" cy="1645285"/>
                <wp:effectExtent l="0" t="0" r="0" b="0"/>
                <wp:wrapSquare wrapText="bothSides"/>
                <wp:docPr id="1" name="Frame1"/>
                <a:graphic xmlns:a="http://schemas.openxmlformats.org/drawingml/2006/main">
                  <a:graphicData uri="http://schemas.microsoft.com/office/word/2010/wordprocessingShape">
                    <wps:wsp>
                      <wps:cNvSpPr txBox="1"/>
                      <wps:spPr>
                        <a:xfrm>
                          <a:off x="0" y="0"/>
                          <a:ext cx="1645920" cy="1645285"/>
                        </a:xfrm>
                        <a:prstGeom prst="rect"/>
                        <a:solidFill>
                          <a:srgbClr val="FFFFFF">
                            <a:alpha val="0"/>
                          </a:srgbClr>
                        </a:solidFill>
                      </wps:spPr>
                      <wps:txbx>
                        <w:txbxContent>
                          <w:p>
                            <w:pPr>
                              <w:pStyle w:val="Normal"/>
                              <w:rPr/>
                            </w:pPr>
                            <w:bookmarkStart w:id="0" w:name="_1041248857"/>
                            <w:bookmarkStart w:id="1" w:name="_1010488464"/>
                            <w:bookmarkStart w:id="2" w:name="_966950418"/>
                            <w:bookmarkEnd w:id="0"/>
                            <w:bookmarkEnd w:id="1"/>
                            <w:bookmarkEnd w:id="2"/>
                            <w:r>
                              <w:rPr/>
                              <w:object w:dxaOrig="4816" w:dyaOrig="481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9.55pt;height:129.55pt" filled="f" o:ole="">
                                  <v:imagedata r:id="rId3" o:title=""/>
                                </v:shape>
                                <o:OLEObject Type="Embed" ProgID="" ShapeID="ole_rId2" DrawAspect="Content" ObjectID="_1516931177" r:id="rId2"/>
                              </w:object>
                            </w:r>
                          </w:p>
                        </w:txbxContent>
                      </wps:txbx>
                      <wps:bodyPr anchor="t" lIns="0" tIns="0" rIns="0" bIns="0">
                        <a:noAutofit/>
                      </wps:bodyPr>
                    </wps:wsp>
                  </a:graphicData>
                </a:graphic>
              </wp:anchor>
            </w:drawing>
          </mc:Choice>
          <mc:Fallback>
            <w:pict>
              <v:rect fillcolor="#FFFFFF" style="position:absolute;rotation:-0;width:129.6pt;height:129.55pt;mso-wrap-distance-left:9pt;mso-wrap-distance-right:9pt;mso-wrap-distance-top:0pt;mso-wrap-distance-bottom:0pt;margin-top:0.05pt;mso-position-vertical-relative:text;margin-left:93.65pt;mso-position-horizontal-relative:page">
                <v:fill opacity="0f"/>
                <v:textbox inset="0in,0in,0in,0in">
                  <w:txbxContent>
                    <w:p>
                      <w:pPr>
                        <w:pStyle w:val="Normal"/>
                        <w:rPr/>
                      </w:pPr>
                      <w:bookmarkStart w:id="3" w:name="_1041248857"/>
                      <w:bookmarkStart w:id="4" w:name="_1010488464"/>
                      <w:bookmarkStart w:id="5" w:name="_966950418"/>
                      <w:bookmarkEnd w:id="3"/>
                      <w:bookmarkEnd w:id="4"/>
                      <w:bookmarkEnd w:id="5"/>
                      <w:r>
                        <w:rPr/>
                        <w:object w:dxaOrig="4816" w:dyaOrig="481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29.55pt;height:129.55pt" filled="f" o:ole="">
                            <v:imagedata r:id="rId5" o:title=""/>
                          </v:shape>
                          <o:OLEObject Type="Embed" ProgID="" ShapeID="ole_rId4" DrawAspect="Content" ObjectID="_1438325408" r:id="rId4"/>
                        </w:object>
                      </w:r>
                    </w:p>
                  </w:txbxContent>
                </v:textbox>
                <w10:wrap type="square"/>
              </v:rect>
            </w:pict>
          </mc:Fallback>
        </mc:AlternateContent>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pPr>
      <w:r>
        <w:rPr/>
      </w:r>
    </w:p>
    <w:p>
      <w:pPr>
        <w:pStyle w:val="Normal"/>
        <w:rPr/>
      </w:pPr>
      <w:r>
        <w:rPr/>
      </w:r>
    </w:p>
    <w:p>
      <w:pPr>
        <w:pStyle w:val="Heading"/>
        <w:numPr>
          <w:ilvl w:val="0"/>
          <w:numId w:val="0"/>
        </w:numPr>
        <w:jc w:val="both"/>
        <w:outlineLvl w:val="0"/>
        <w:rPr/>
      </w:pPr>
      <w:r>
        <w:rPr/>
      </w:r>
    </w:p>
    <w:p>
      <w:pPr>
        <w:pStyle w:val="Heading"/>
        <w:numPr>
          <w:ilvl w:val="0"/>
          <w:numId w:val="0"/>
        </w:numPr>
        <w:jc w:val="both"/>
        <w:outlineLvl w:val="0"/>
        <w:rPr/>
      </w:pPr>
      <w:r>
        <w:rPr/>
      </w:r>
    </w:p>
    <w:p>
      <w:pPr>
        <w:pStyle w:val="Heading"/>
        <w:numPr>
          <w:ilvl w:val="0"/>
          <w:numId w:val="0"/>
        </w:numPr>
        <w:jc w:val="both"/>
        <w:outlineLvl w:val="0"/>
        <w:rPr/>
      </w:pPr>
      <w:r>
        <w:rPr/>
      </w:r>
    </w:p>
    <w:p>
      <w:pPr>
        <w:pStyle w:val="Heading"/>
        <w:numPr>
          <w:ilvl w:val="0"/>
          <w:numId w:val="0"/>
        </w:numPr>
        <w:jc w:val="both"/>
        <w:outlineLvl w:val="0"/>
        <w:rPr/>
      </w:pPr>
      <w:r>
        <w:rPr/>
      </w:r>
    </w:p>
    <w:p>
      <w:pPr>
        <w:pStyle w:val="Heading"/>
        <w:numPr>
          <w:ilvl w:val="0"/>
          <w:numId w:val="0"/>
        </w:numPr>
        <w:jc w:val="both"/>
        <w:outlineLvl w:val="0"/>
        <w:rPr/>
      </w:pPr>
      <w:r>
        <w:rPr/>
        <w:t>Contents</w:t>
      </w:r>
    </w:p>
    <w:sdt>
      <w:sdtPr>
        <w:docPartObj>
          <w:docPartGallery w:val="Table of Contents"/>
          <w:docPartUnique w:val="true"/>
        </w:docPartObj>
      </w:sdtPr>
      <w:sdtContent>
        <w:p>
          <w:pPr>
            <w:pStyle w:val="TOC1"/>
            <w:tabs>
              <w:tab w:val="clear" w:pos="720"/>
              <w:tab w:val="left" w:pos="400" w:leader="none"/>
              <w:tab w:val="right" w:pos="9494" w:leader="dot"/>
            </w:tabs>
            <w:rPr>
              <w:rFonts w:ascii="Times New Roman" w:hAnsi="Times New Roman" w:cs="Times New Roman"/>
              <w:b w:val="false"/>
              <w:bCs w:val="false"/>
              <w:sz w:val="24"/>
              <w:szCs w:val="24"/>
              <w:lang w:val="en-CA" w:eastAsia="en-CA"/>
            </w:rPr>
          </w:pPr>
          <w:r>
            <w:fldChar w:fldCharType="begin"/>
          </w:r>
          <w:r>
            <w:rPr>
              <w:szCs w:val="28"/>
              <w:lang w:val="en-CA" w:eastAsia="en-CA"/>
            </w:rPr>
            <w:instrText xml:space="preserve"> TOC \o "1-5" </w:instrText>
          </w:r>
          <w:r>
            <w:rPr>
              <w:szCs w:val="28"/>
              <w:lang w:val="en-CA" w:eastAsia="en-CA"/>
            </w:rPr>
            <w:fldChar w:fldCharType="separate"/>
          </w:r>
          <w:r>
            <w:rPr>
              <w:szCs w:val="28"/>
              <w:lang w:val="en-CA" w:eastAsia="en-CA"/>
            </w:rPr>
            <w:t>1</w:t>
          </w:r>
          <w:r>
            <w:rPr>
              <w:rFonts w:cs="Times New Roman" w:ascii="Times New Roman" w:hAnsi="Times New Roman"/>
              <w:b w:val="false"/>
              <w:bCs w:val="false"/>
              <w:sz w:val="24"/>
              <w:szCs w:val="24"/>
              <w:lang w:val="en-CA" w:eastAsia="en-CA"/>
            </w:rPr>
            <w:tab/>
          </w:r>
          <w:r>
            <w:rPr>
              <w:szCs w:val="28"/>
              <w:lang w:val="en-CA" w:eastAsia="en-CA"/>
            </w:rPr>
            <w:t>Description</w:t>
          </w:r>
          <w:r>
            <w:rPr>
              <w:lang w:val="en-CA" w:eastAsia="en-CA"/>
            </w:rPr>
            <w:tab/>
          </w:r>
          <w:hyperlink w:anchor="__RefHeading___Toc533221986">
            <w:r>
              <w:rPr>
                <w:rStyle w:val="IndexLink"/>
                <w:lang w:val="en-CA" w:eastAsia="en-CA"/>
              </w:rPr>
              <w:t>3</w:t>
            </w:r>
          </w:hyperlink>
        </w:p>
        <w:p>
          <w:pPr>
            <w:pStyle w:val="TOC1"/>
            <w:tabs>
              <w:tab w:val="clear" w:pos="720"/>
              <w:tab w:val="left" w:pos="400" w:leader="none"/>
              <w:tab w:val="right" w:pos="9494" w:leader="dot"/>
            </w:tabs>
            <w:rPr>
              <w:rFonts w:ascii="Times New Roman" w:hAnsi="Times New Roman" w:cs="Times New Roman"/>
              <w:b w:val="false"/>
              <w:bCs w:val="false"/>
              <w:sz w:val="24"/>
              <w:szCs w:val="24"/>
              <w:lang w:val="en-CA" w:eastAsia="en-CA"/>
            </w:rPr>
          </w:pPr>
          <w:r>
            <w:rPr>
              <w:szCs w:val="28"/>
              <w:lang w:val="en-CA" w:eastAsia="en-CA"/>
            </w:rPr>
            <w:t>2</w:t>
          </w:r>
          <w:r>
            <w:rPr>
              <w:rFonts w:cs="Times New Roman" w:ascii="Times New Roman" w:hAnsi="Times New Roman"/>
              <w:b w:val="false"/>
              <w:bCs w:val="false"/>
              <w:sz w:val="24"/>
              <w:szCs w:val="24"/>
              <w:lang w:val="en-CA" w:eastAsia="en-CA"/>
            </w:rPr>
            <w:tab/>
          </w:r>
          <w:r>
            <w:rPr>
              <w:szCs w:val="28"/>
              <w:lang w:val="en-CA" w:eastAsia="en-CA"/>
            </w:rPr>
            <w:t>Assumptions</w:t>
          </w:r>
          <w:r>
            <w:rPr>
              <w:lang w:val="en-CA" w:eastAsia="en-CA"/>
            </w:rPr>
            <w:tab/>
          </w:r>
          <w:hyperlink w:anchor="__RefHeading___Toc533221987">
            <w:r>
              <w:rPr>
                <w:rStyle w:val="IndexLink"/>
                <w:lang w:val="en-CA" w:eastAsia="en-CA"/>
              </w:rPr>
              <w:t>5</w:t>
            </w:r>
          </w:hyperlink>
        </w:p>
        <w:p>
          <w:pPr>
            <w:pStyle w:val="TOC1"/>
            <w:tabs>
              <w:tab w:val="clear" w:pos="720"/>
              <w:tab w:val="left" w:pos="400" w:leader="none"/>
              <w:tab w:val="right" w:pos="9494" w:leader="dot"/>
            </w:tabs>
            <w:rPr>
              <w:rFonts w:ascii="Times New Roman" w:hAnsi="Times New Roman" w:cs="Times New Roman"/>
              <w:b w:val="false"/>
              <w:sz w:val="24"/>
              <w:szCs w:val="24"/>
              <w:lang w:val="en-CA" w:eastAsia="en-CA"/>
            </w:rPr>
          </w:pPr>
          <w:r>
            <w:rPr>
              <w:bCs w:val="false"/>
              <w:szCs w:val="28"/>
              <w:lang w:val="en-CA" w:eastAsia="en-CA"/>
            </w:rPr>
            <w:t>3</w:t>
          </w:r>
          <w:r>
            <w:rPr>
              <w:rFonts w:cs="Times New Roman" w:ascii="Times New Roman" w:hAnsi="Times New Roman"/>
              <w:b w:val="false"/>
              <w:bCs w:val="false"/>
              <w:sz w:val="24"/>
              <w:szCs w:val="24"/>
              <w:lang w:val="en-CA" w:eastAsia="en-CA"/>
            </w:rPr>
            <w:tab/>
          </w:r>
          <w:r>
            <w:rPr>
              <w:bCs w:val="false"/>
              <w:szCs w:val="28"/>
              <w:lang w:val="en-CA" w:eastAsia="en-CA"/>
            </w:rPr>
            <w:t>Appendix – Resources</w:t>
          </w:r>
          <w:r>
            <w:rPr>
              <w:bCs w:val="false"/>
              <w:lang w:val="en-CA" w:eastAsia="en-CA"/>
            </w:rPr>
            <w:tab/>
            <w:t>6</w:t>
          </w:r>
          <w:r>
            <w:rPr>
              <w:bCs w:val="false"/>
              <w:lang w:val="en-CA" w:eastAsia="en-CA"/>
            </w:rPr>
            <w:fldChar w:fldCharType="end"/>
          </w:r>
        </w:p>
      </w:sdtContent>
    </w:sdt>
    <w:p>
      <w:pPr>
        <w:pStyle w:val="Heading"/>
        <w:numPr>
          <w:ilvl w:val="0"/>
          <w:numId w:val="0"/>
        </w:numPr>
        <w:jc w:val="both"/>
        <w:outlineLvl w:val="0"/>
        <w:rPr>
          <w:rFonts w:ascii="Times New Roman" w:hAnsi="Times New Roman" w:cs="Times New Roman"/>
          <w:b w:val="false"/>
          <w:bCs/>
          <w:sz w:val="24"/>
          <w:szCs w:val="24"/>
          <w:lang w:val="en-CA" w:eastAsia="en-CA"/>
        </w:rPr>
      </w:pPr>
      <w:r>
        <w:rPr>
          <w:rFonts w:cs="Times New Roman" w:ascii="Times New Roman" w:hAnsi="Times New Roman"/>
          <w:b w:val="false"/>
          <w:bCs/>
          <w:sz w:val="24"/>
          <w:szCs w:val="24"/>
          <w:lang w:val="en-CA" w:eastAsia="en-CA"/>
        </w:rPr>
      </w:r>
    </w:p>
    <w:p>
      <w:pPr>
        <w:pStyle w:val="Heading1"/>
        <w:rPr/>
      </w:pPr>
      <w:bookmarkStart w:id="6" w:name="__RefHeading___Toc533221986"/>
      <w:bookmarkEnd w:id="6"/>
      <w:r>
        <w:rPr/>
        <w:t>Description</w:t>
      </w:r>
    </w:p>
    <w:p>
      <w:pPr>
        <w:pStyle w:val="Normal"/>
        <w:rPr/>
      </w:pPr>
      <w:r>
        <w:rPr/>
      </w:r>
    </w:p>
    <w:p>
      <w:pPr>
        <w:pStyle w:val="Normal"/>
        <w:ind w:hanging="19" w:start="450" w:end="0"/>
        <w:rPr/>
      </w:pPr>
      <w:r>
        <w:rPr/>
        <w:t>The primary focus for re-starting the fundamentals function is access to the resources assigned to the team.  The information utilized for day-to-day analysis has been secured since the end of commercial operations at Enron.  Most reports and fundamentals publications have continued to update due to the continuing effort of the remaining available resources and the automation and checking procedures set up by the IT Fundamentals team.  In most cases, the data needs to be verified for completeness and accuracy.</w:t>
      </w:r>
    </w:p>
    <w:p>
      <w:pPr>
        <w:pStyle w:val="Normal"/>
        <w:ind w:hanging="19" w:start="450" w:end="0"/>
        <w:rPr/>
      </w:pPr>
      <w:r>
        <w:rPr/>
      </w:r>
    </w:p>
    <w:p>
      <w:pPr>
        <w:pStyle w:val="Normal"/>
        <w:ind w:hanging="19" w:start="450" w:end="0"/>
        <w:rPr/>
      </w:pPr>
      <w:r>
        <w:rPr/>
        <w:t>Gas Fundamentals is divided into five existing areas and one new effort:</w:t>
      </w:r>
    </w:p>
    <w:p>
      <w:pPr>
        <w:pStyle w:val="Normal"/>
        <w:ind w:hanging="19" w:start="450" w:end="0"/>
        <w:rPr/>
      </w:pPr>
      <w:r>
        <w:rPr/>
      </w:r>
    </w:p>
    <w:p>
      <w:pPr>
        <w:pStyle w:val="Normal"/>
        <w:numPr>
          <w:ilvl w:val="0"/>
          <w:numId w:val="2"/>
        </w:numPr>
        <w:rPr>
          <w:b/>
          <w:bCs/>
        </w:rPr>
      </w:pPr>
      <w:r>
        <w:rPr>
          <w:b/>
          <w:bCs/>
        </w:rPr>
        <w:t>Supply Analysis</w:t>
      </w:r>
    </w:p>
    <w:p>
      <w:pPr>
        <w:pStyle w:val="Normal"/>
        <w:numPr>
          <w:ilvl w:val="1"/>
          <w:numId w:val="2"/>
        </w:numPr>
        <w:rPr/>
      </w:pPr>
      <w:r>
        <w:rPr>
          <w:b/>
          <w:bCs/>
        </w:rPr>
        <w:t>Weekly Newsletter</w:t>
      </w:r>
      <w:r>
        <w:rPr/>
        <w:t xml:space="preserve"> – publish issue that covers supply issues since cease of commercial operations. (Complete by 1/21)  Weekly updates will continue thereafter in combination with the Consumption Weekly.</w:t>
      </w:r>
    </w:p>
    <w:p>
      <w:pPr>
        <w:pStyle w:val="Normal"/>
        <w:numPr>
          <w:ilvl w:val="1"/>
          <w:numId w:val="2"/>
        </w:numPr>
        <w:rPr/>
      </w:pPr>
      <w:r>
        <w:rPr>
          <w:b/>
          <w:bCs/>
        </w:rPr>
        <w:t>Quarterly production forecast</w:t>
      </w:r>
      <w:r>
        <w:rPr/>
        <w:t xml:space="preserve"> – last update was Q301, which is current, this forecast will be updated as earnings for the fourth quarter are released (Current)</w:t>
      </w:r>
    </w:p>
    <w:p>
      <w:pPr>
        <w:pStyle w:val="Normal"/>
        <w:numPr>
          <w:ilvl w:val="1"/>
          <w:numId w:val="2"/>
        </w:numPr>
        <w:rPr/>
      </w:pPr>
      <w:r>
        <w:rPr>
          <w:b/>
          <w:bCs/>
        </w:rPr>
        <w:t>Supply forecast/Decline Curves</w:t>
      </w:r>
      <w:r>
        <w:rPr/>
        <w:t xml:space="preserve"> – this forecast is dependent on access to PI/Dwights production data, which </w:t>
      </w:r>
      <w:r>
        <w:rPr>
          <w:b/>
          <w:bCs/>
          <w:color w:val="FF0000"/>
        </w:rPr>
        <w:t>needs to be licensed for NETCO</w:t>
      </w:r>
      <w:r>
        <w:rPr/>
        <w:t>.  We currently use Enron’s PI/Dwights access to forecast U.S. production.  The goal is to use regional rig/well counts to forecast regional production.  (License negotiations by 1/14)</w:t>
      </w:r>
    </w:p>
    <w:p>
      <w:pPr>
        <w:pStyle w:val="Normal"/>
        <w:numPr>
          <w:ilvl w:val="1"/>
          <w:numId w:val="2"/>
        </w:numPr>
        <w:rPr/>
      </w:pPr>
      <w:r>
        <w:rPr>
          <w:b/>
          <w:bCs/>
        </w:rPr>
        <w:t>U.S./Canada rig count</w:t>
      </w:r>
      <w:r>
        <w:rPr/>
        <w:t xml:space="preserve"> data (Update by 1/14)</w:t>
      </w:r>
    </w:p>
    <w:p>
      <w:pPr>
        <w:pStyle w:val="Normal"/>
        <w:numPr>
          <w:ilvl w:val="1"/>
          <w:numId w:val="2"/>
        </w:numPr>
        <w:rPr/>
      </w:pPr>
      <w:r>
        <w:rPr>
          <w:b/>
          <w:bCs/>
        </w:rPr>
        <w:t>EIA production</w:t>
      </w:r>
      <w:r>
        <w:rPr/>
        <w:t xml:space="preserve"> data (Update by 1/14)</w:t>
      </w:r>
    </w:p>
    <w:p>
      <w:pPr>
        <w:pStyle w:val="Normal"/>
        <w:numPr>
          <w:ilvl w:val="1"/>
          <w:numId w:val="2"/>
        </w:numPr>
        <w:rPr/>
      </w:pPr>
      <w:r>
        <w:rPr>
          <w:b/>
          <w:bCs/>
        </w:rPr>
        <w:t>MMS offshore production</w:t>
      </w:r>
      <w:r>
        <w:rPr/>
        <w:t xml:space="preserve"> data (Update by 1/14)</w:t>
      </w:r>
    </w:p>
    <w:p>
      <w:pPr>
        <w:pStyle w:val="Normal"/>
        <w:numPr>
          <w:ilvl w:val="1"/>
          <w:numId w:val="2"/>
        </w:numPr>
        <w:rPr>
          <w:b/>
          <w:bCs/>
        </w:rPr>
      </w:pPr>
      <w:r>
        <w:rPr>
          <w:b/>
          <w:bCs/>
        </w:rPr>
        <w:t>Producer Hedging</w:t>
      </w:r>
      <w:r>
        <w:rPr/>
        <w:t xml:space="preserve"> – last update was mid-year 2001, update necessary (Update by 1/28)</w:t>
      </w:r>
    </w:p>
    <w:p>
      <w:pPr>
        <w:pStyle w:val="Normal"/>
        <w:numPr>
          <w:ilvl w:val="1"/>
          <w:numId w:val="2"/>
        </w:numPr>
        <w:rPr/>
      </w:pPr>
      <w:r>
        <w:rPr>
          <w:b/>
          <w:bCs/>
        </w:rPr>
        <w:t>Field Receipts</w:t>
      </w:r>
      <w:r>
        <w:rPr/>
        <w:t xml:space="preserve"> – this data is retrieved from the Jaguar database daily, but needs to be checked for accuracy (Verify functionality by 1/14)</w:t>
      </w:r>
    </w:p>
    <w:p>
      <w:pPr>
        <w:pStyle w:val="Normal"/>
        <w:numPr>
          <w:ilvl w:val="1"/>
          <w:numId w:val="2"/>
        </w:numPr>
        <w:rPr/>
      </w:pPr>
      <w:r>
        <w:rPr>
          <w:b/>
          <w:bCs/>
        </w:rPr>
        <w:t xml:space="preserve">Imports </w:t>
      </w:r>
      <w:r>
        <w:rPr/>
        <w:t>– LNG re-gasification and Canadian imports are tracked daily and forecast on a monthly basis.  Data since November needs to be checked and the forecast needs to be updated (Verify and Update by 1/14)</w:t>
      </w:r>
    </w:p>
    <w:p>
      <w:pPr>
        <w:pStyle w:val="Normal"/>
        <w:numPr>
          <w:ilvl w:val="1"/>
          <w:numId w:val="2"/>
        </w:numPr>
        <w:rPr/>
      </w:pPr>
      <w:r>
        <w:rPr>
          <w:b/>
          <w:bCs/>
        </w:rPr>
        <w:t>NGL’s</w:t>
      </w:r>
      <w:r>
        <w:rPr/>
        <w:t xml:space="preserve"> – update all daily graphs and monthly analysis on NGL spreads and the impact on the gas market (Update by 1/14)</w:t>
      </w:r>
    </w:p>
    <w:p>
      <w:pPr>
        <w:pStyle w:val="Normal"/>
        <w:numPr>
          <w:ilvl w:val="0"/>
          <w:numId w:val="2"/>
        </w:numPr>
        <w:rPr>
          <w:b/>
          <w:bCs/>
        </w:rPr>
      </w:pPr>
      <w:r>
        <w:rPr>
          <w:b/>
          <w:bCs/>
        </w:rPr>
        <w:t>Consumption Analysis</w:t>
      </w:r>
    </w:p>
    <w:p>
      <w:pPr>
        <w:pStyle w:val="Normal"/>
        <w:numPr>
          <w:ilvl w:val="1"/>
          <w:numId w:val="2"/>
        </w:numPr>
        <w:rPr/>
      </w:pPr>
      <w:r>
        <w:rPr>
          <w:b/>
          <w:bCs/>
        </w:rPr>
        <w:t>Weekly Newsletter</w:t>
      </w:r>
      <w:r>
        <w:rPr/>
        <w:t xml:space="preserve"> – publish issue that covers consumption issues since cease of commercial operations. (Complete by 1/21)  Weekly updates will continue thereafter in combination with the Supply Weekly.</w:t>
      </w:r>
    </w:p>
    <w:p>
      <w:pPr>
        <w:pStyle w:val="Normal"/>
        <w:numPr>
          <w:ilvl w:val="1"/>
          <w:numId w:val="2"/>
        </w:numPr>
        <w:rPr>
          <w:b/>
          <w:bCs/>
        </w:rPr>
      </w:pPr>
      <w:r>
        <w:rPr>
          <w:b/>
          <w:bCs/>
        </w:rPr>
        <w:t>Industrial Model</w:t>
      </w:r>
      <w:r>
        <w:rPr/>
        <w:t xml:space="preserve"> – weekly updates were suspended at the end of the 3</w:t>
      </w:r>
      <w:r>
        <w:rPr>
          <w:vertAlign w:val="superscript"/>
        </w:rPr>
        <w:t>rd</w:t>
      </w:r>
      <w:r>
        <w:rPr/>
        <w:t xml:space="preserve"> Quarter.  Need to update industry utilization numbers from the Federal Reserve and compile a new forecast. (Update by 1/14)</w:t>
      </w:r>
    </w:p>
    <w:p>
      <w:pPr>
        <w:pStyle w:val="Normal"/>
        <w:numPr>
          <w:ilvl w:val="1"/>
          <w:numId w:val="2"/>
        </w:numPr>
        <w:rPr>
          <w:b/>
          <w:bCs/>
        </w:rPr>
      </w:pPr>
      <w:r>
        <w:rPr>
          <w:b/>
          <w:bCs/>
        </w:rPr>
        <w:t>Residential/Commercial Model</w:t>
      </w:r>
      <w:r>
        <w:rPr/>
        <w:t xml:space="preserve"> – model was not complete as of Q301, effort will continue with 2/28 as a deadline. (Complete by 2/28)</w:t>
      </w:r>
    </w:p>
    <w:p>
      <w:pPr>
        <w:pStyle w:val="Normal"/>
        <w:numPr>
          <w:ilvl w:val="1"/>
          <w:numId w:val="2"/>
        </w:numPr>
        <w:rPr>
          <w:b/>
          <w:bCs/>
        </w:rPr>
      </w:pPr>
      <w:r>
        <w:rPr>
          <w:b/>
          <w:bCs/>
        </w:rPr>
        <w:t>Power Stack Model</w:t>
      </w:r>
      <w:r>
        <w:rPr/>
        <w:t xml:space="preserve"> – models updated as of mid-December, but contingent upon load forecast from East Power.  Load new power plant data into existing models, update commodity prices. (Update by 1/14)</w:t>
      </w:r>
    </w:p>
    <w:p>
      <w:pPr>
        <w:pStyle w:val="Normal"/>
        <w:numPr>
          <w:ilvl w:val="1"/>
          <w:numId w:val="2"/>
        </w:numPr>
        <w:rPr>
          <w:b/>
          <w:bCs/>
        </w:rPr>
      </w:pPr>
      <w:r>
        <w:rPr>
          <w:b/>
          <w:bCs/>
        </w:rPr>
        <w:t>Economic Indicators</w:t>
      </w:r>
      <w:r>
        <w:rPr/>
        <w:t xml:space="preserve"> – complete review of economic events since end of commercial operations. (Complete by 1/21)</w:t>
      </w:r>
    </w:p>
    <w:p>
      <w:pPr>
        <w:pStyle w:val="Normal"/>
        <w:numPr>
          <w:ilvl w:val="1"/>
          <w:numId w:val="2"/>
        </w:numPr>
        <w:rPr>
          <w:b/>
          <w:bCs/>
        </w:rPr>
      </w:pPr>
      <w:r>
        <w:rPr>
          <w:b/>
          <w:bCs/>
        </w:rPr>
        <w:t>EIA/Other Data</w:t>
      </w:r>
      <w:r>
        <w:rPr/>
        <w:t xml:space="preserve"> – update all information since last update, includes EIA consumption statistics and Weekly Railcar Loading data.</w:t>
      </w:r>
    </w:p>
    <w:p>
      <w:pPr>
        <w:pStyle w:val="Normal"/>
        <w:numPr>
          <w:ilvl w:val="0"/>
          <w:numId w:val="2"/>
        </w:numPr>
        <w:rPr>
          <w:b/>
          <w:bCs/>
        </w:rPr>
      </w:pPr>
      <w:r>
        <w:rPr>
          <w:b/>
          <w:bCs/>
        </w:rPr>
        <w:t>Ops Reports</w:t>
      </w:r>
    </w:p>
    <w:p>
      <w:pPr>
        <w:pStyle w:val="Normal"/>
        <w:numPr>
          <w:ilvl w:val="1"/>
          <w:numId w:val="2"/>
        </w:numPr>
        <w:rPr>
          <w:b/>
          <w:bCs/>
        </w:rPr>
      </w:pPr>
      <w:r>
        <w:rPr/>
        <w:t>All morning operations reports have been verified and checked for accuracy and completeness. (No action necessary – continuing effort)</w:t>
      </w:r>
    </w:p>
    <w:p>
      <w:pPr>
        <w:pStyle w:val="Normal"/>
        <w:numPr>
          <w:ilvl w:val="0"/>
          <w:numId w:val="2"/>
        </w:numPr>
        <w:rPr>
          <w:b/>
          <w:bCs/>
        </w:rPr>
      </w:pPr>
      <w:r>
        <w:rPr>
          <w:b/>
          <w:bCs/>
        </w:rPr>
        <w:t>AGA Forecasting</w:t>
      </w:r>
    </w:p>
    <w:p>
      <w:pPr>
        <w:pStyle w:val="Normal"/>
        <w:numPr>
          <w:ilvl w:val="1"/>
          <w:numId w:val="2"/>
        </w:numPr>
        <w:rPr>
          <w:b/>
          <w:bCs/>
        </w:rPr>
      </w:pPr>
      <w:r>
        <w:rPr/>
        <w:t>Method 1 – the Degree-day model has been functional since end of commercial operations.  Need to adjust for changes in supply and demand forecasts for the end of summer model.  (Complete by 2/28)</w:t>
      </w:r>
    </w:p>
    <w:p>
      <w:pPr>
        <w:pStyle w:val="Normal"/>
        <w:numPr>
          <w:ilvl w:val="1"/>
          <w:numId w:val="2"/>
        </w:numPr>
        <w:rPr>
          <w:b/>
          <w:bCs/>
        </w:rPr>
      </w:pPr>
      <w:r>
        <w:rPr/>
        <w:t>Method 2 – the Facility Model has been updated, but since the cease of commercial operations we have lost critical data (TECO, CNG, Peoples Energy, Bammel).  We are evaluating our options on the continuation of the model.  (Evaluate by 1/21)</w:t>
      </w:r>
    </w:p>
    <w:p>
      <w:pPr>
        <w:pStyle w:val="Normal"/>
        <w:numPr>
          <w:ilvl w:val="0"/>
          <w:numId w:val="2"/>
        </w:numPr>
        <w:rPr>
          <w:b/>
          <w:bCs/>
        </w:rPr>
      </w:pPr>
      <w:r>
        <w:rPr>
          <w:b/>
          <w:bCs/>
        </w:rPr>
        <w:t>Other Commodity Coverage (NEW)</w:t>
      </w:r>
    </w:p>
    <w:p>
      <w:pPr>
        <w:pStyle w:val="Normal"/>
        <w:numPr>
          <w:ilvl w:val="1"/>
          <w:numId w:val="2"/>
        </w:numPr>
        <w:rPr>
          <w:b/>
          <w:bCs/>
        </w:rPr>
      </w:pPr>
      <w:r>
        <w:rPr/>
        <w:t xml:space="preserve">Effort to cover the commodities previously covered by other fundamental groups within EGM is in planning stage.  We intend to cover data and analysis as it relates to the gas market.  For example, Crude Oil, Distillate, Residual Oil, and Coal. </w:t>
      </w:r>
    </w:p>
    <w:p>
      <w:pPr>
        <w:pStyle w:val="Normal"/>
        <w:numPr>
          <w:ilvl w:val="0"/>
          <w:numId w:val="2"/>
        </w:numPr>
        <w:rPr>
          <w:b/>
          <w:bCs/>
        </w:rPr>
      </w:pPr>
      <w:r>
        <w:rPr>
          <w:b/>
          <w:bCs/>
        </w:rPr>
        <w:t>IT (Data storage, content management, and intranet site) – covered in detail in separate document.</w:t>
      </w:r>
    </w:p>
    <w:p>
      <w:pPr>
        <w:pStyle w:val="Heading1"/>
        <w:rPr/>
      </w:pPr>
      <w:bookmarkStart w:id="7" w:name="__RefHeading___Toc533221987"/>
      <w:bookmarkEnd w:id="7"/>
      <w:r>
        <w:rPr/>
        <w:t>Assumptions</w:t>
      </w:r>
    </w:p>
    <w:p>
      <w:pPr>
        <w:pStyle w:val="Normal"/>
        <w:rPr/>
      </w:pPr>
      <w:r>
        <w:rPr/>
      </w:r>
    </w:p>
    <w:p>
      <w:pPr>
        <w:pStyle w:val="Normal"/>
        <w:rPr/>
      </w:pPr>
      <w:r>
        <w:rPr/>
        <w:t>The following is a list of assumptions pertaining to the start-up plan</w:t>
      </w:r>
    </w:p>
    <w:p>
      <w:pPr>
        <w:pStyle w:val="Normal"/>
        <w:rPr/>
      </w:pPr>
      <w:r>
        <w:rPr/>
      </w:r>
    </w:p>
    <w:p>
      <w:pPr>
        <w:pStyle w:val="Normal"/>
        <w:numPr>
          <w:ilvl w:val="0"/>
          <w:numId w:val="3"/>
        </w:numPr>
        <w:rPr/>
      </w:pPr>
      <w:r>
        <w:rPr/>
        <w:t>All team members assigned to fundamentals are available to the team (Trading Track candidates on commercial team transition smoothly).</w:t>
      </w:r>
    </w:p>
    <w:p>
      <w:pPr>
        <w:pStyle w:val="Normal"/>
        <w:numPr>
          <w:ilvl w:val="0"/>
          <w:numId w:val="3"/>
        </w:numPr>
        <w:rPr/>
      </w:pPr>
      <w:r>
        <w:rPr/>
        <w:t>Access to data continues uninterrupted (PI/Dwights and other subscription services).</w:t>
      </w:r>
    </w:p>
    <w:p>
      <w:pPr>
        <w:pStyle w:val="Normal"/>
        <w:spacing w:lineRule="atLeast" w:line="240"/>
        <w:rPr>
          <w:lang w:val="en-AU"/>
        </w:rPr>
      </w:pPr>
      <w:r>
        <w:rPr>
          <w:lang w:val="en-AU"/>
        </w:rPr>
      </w:r>
    </w:p>
    <w:p>
      <w:pPr>
        <w:pStyle w:val="Normal"/>
        <w:rPr>
          <w:lang w:val="en-AU"/>
        </w:rPr>
      </w:pPr>
      <w:r>
        <w:rPr>
          <w:lang w:val="en-AU"/>
        </w:rPr>
      </w:r>
      <w:bookmarkStart w:id="8" w:name="RELATED_MATERIAL"/>
      <w:bookmarkStart w:id="9" w:name="RELATED_MATERIAL"/>
      <w:bookmarkEnd w:id="9"/>
    </w:p>
    <w:p>
      <w:pPr>
        <w:pStyle w:val="Normal"/>
        <w:rPr/>
      </w:pPr>
      <w:r>
        <w:rPr/>
      </w:r>
    </w:p>
    <w:p>
      <w:pPr>
        <w:pStyle w:val="Heading1"/>
        <w:rPr/>
      </w:pPr>
      <w:r>
        <w:rPr/>
        <w:t>Appendix – Support Contact Information</w:t>
      </w:r>
    </w:p>
    <w:p>
      <w:pPr>
        <w:pStyle w:val="Normal"/>
        <w:rPr/>
      </w:pPr>
      <w:r>
        <w:rPr/>
      </w:r>
    </w:p>
    <w:p>
      <w:pPr>
        <w:pStyle w:val="Normal"/>
        <w:rPr/>
      </w:pPr>
      <w:r>
        <w:rPr/>
        <w:t>The following person(s) will be assigned to complete the items outlined in the description:</w:t>
      </w:r>
    </w:p>
    <w:p>
      <w:pPr>
        <w:pStyle w:val="Normal"/>
        <w:rPr/>
      </w:pPr>
      <w:r>
        <w:rPr/>
      </w:r>
    </w:p>
    <w:tbl>
      <w:tblPr>
        <w:tblW w:w="7578" w:type="dxa"/>
        <w:jc w:val="start"/>
        <w:tblInd w:w="0" w:type="dxa"/>
        <w:tblLayout w:type="fixed"/>
        <w:tblCellMar>
          <w:top w:w="0" w:type="dxa"/>
          <w:start w:w="108" w:type="dxa"/>
          <w:bottom w:w="0" w:type="dxa"/>
          <w:end w:w="108" w:type="dxa"/>
        </w:tblCellMar>
      </w:tblPr>
      <w:tblGrid>
        <w:gridCol w:w="4338"/>
        <w:gridCol w:w="3240"/>
      </w:tblGrid>
      <w:tr>
        <w:trPr/>
        <w:tc>
          <w:tcPr>
            <w:tcW w:w="4338" w:type="dxa"/>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sz w:val="24"/>
              </w:rPr>
            </w:pPr>
            <w:r>
              <w:rPr>
                <w:b/>
                <w:bCs/>
                <w:color w:val="FFFFFF"/>
                <w:sz w:val="24"/>
              </w:rPr>
              <w:t>Area of Expertise</w:t>
            </w:r>
          </w:p>
        </w:tc>
        <w:tc>
          <w:tcPr>
            <w:tcW w:w="3240" w:type="dxa"/>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sz w:val="24"/>
              </w:rPr>
            </w:pPr>
            <w:r>
              <w:rPr>
                <w:b/>
                <w:bCs/>
                <w:color w:val="FFFFFF"/>
                <w:sz w:val="24"/>
              </w:rPr>
              <w:t>Name</w:t>
            </w:r>
          </w:p>
        </w:tc>
      </w:tr>
      <w:tr>
        <w:trPr/>
        <w:tc>
          <w:tcPr>
            <w:tcW w:w="4338" w:type="dxa"/>
            <w:tcBorders>
              <w:top w:val="single" w:sz="4" w:space="0" w:color="000000"/>
              <w:start w:val="single" w:sz="4" w:space="0" w:color="000000"/>
              <w:bottom w:val="single" w:sz="4" w:space="0" w:color="000000"/>
              <w:end w:val="single" w:sz="4" w:space="0" w:color="000000"/>
            </w:tcBorders>
          </w:tcPr>
          <w:p>
            <w:pPr>
              <w:pStyle w:val="Normal"/>
              <w:rPr/>
            </w:pPr>
            <w:r>
              <w:rPr/>
              <w:t>Direction/Management</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Chris Gaskill</w:t>
            </w:r>
          </w:p>
        </w:tc>
      </w:tr>
      <w:tr>
        <w:trPr/>
        <w:tc>
          <w:tcPr>
            <w:tcW w:w="4338" w:type="dxa"/>
            <w:tcBorders>
              <w:top w:val="single" w:sz="4" w:space="0" w:color="000000"/>
              <w:start w:val="single" w:sz="4" w:space="0" w:color="000000"/>
              <w:bottom w:val="single" w:sz="4" w:space="0" w:color="000000"/>
              <w:end w:val="single" w:sz="4" w:space="0" w:color="000000"/>
            </w:tcBorders>
          </w:tcPr>
          <w:p>
            <w:pPr>
              <w:pStyle w:val="Normal"/>
              <w:rPr/>
            </w:pPr>
            <w:r>
              <w:rPr/>
              <w:t>Manager Supply/Consumption</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Dipak Agarwalla</w:t>
            </w:r>
          </w:p>
        </w:tc>
      </w:tr>
      <w:tr>
        <w:trPr/>
        <w:tc>
          <w:tcPr>
            <w:tcW w:w="4338" w:type="dxa"/>
            <w:tcBorders>
              <w:top w:val="single" w:sz="4" w:space="0" w:color="000000"/>
              <w:start w:val="single" w:sz="4" w:space="0" w:color="000000"/>
              <w:bottom w:val="single" w:sz="4" w:space="0" w:color="000000"/>
              <w:end w:val="single" w:sz="4" w:space="0" w:color="000000"/>
            </w:tcBorders>
          </w:tcPr>
          <w:p>
            <w:pPr>
              <w:pStyle w:val="Normal"/>
              <w:rPr/>
            </w:pPr>
            <w:r>
              <w:rPr/>
              <w:t>Supply/Consumption</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Denver Plachy</w:t>
            </w:r>
          </w:p>
        </w:tc>
      </w:tr>
      <w:tr>
        <w:trPr/>
        <w:tc>
          <w:tcPr>
            <w:tcW w:w="4338" w:type="dxa"/>
            <w:tcBorders>
              <w:top w:val="single" w:sz="4" w:space="0" w:color="000000"/>
              <w:start w:val="single" w:sz="4" w:space="0" w:color="000000"/>
              <w:bottom w:val="single" w:sz="4" w:space="0" w:color="000000"/>
              <w:end w:val="single" w:sz="4" w:space="0" w:color="000000"/>
            </w:tcBorders>
          </w:tcPr>
          <w:p>
            <w:pPr>
              <w:pStyle w:val="Normal"/>
              <w:rPr/>
            </w:pPr>
            <w:r>
              <w:rPr/>
              <w:t>Supply/Consumption</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Biliana Pehlivanova</w:t>
            </w:r>
          </w:p>
        </w:tc>
      </w:tr>
      <w:tr>
        <w:trPr/>
        <w:tc>
          <w:tcPr>
            <w:tcW w:w="4338" w:type="dxa"/>
            <w:tcBorders>
              <w:top w:val="single" w:sz="4" w:space="0" w:color="000000"/>
              <w:start w:val="single" w:sz="4" w:space="0" w:color="000000"/>
              <w:bottom w:val="single" w:sz="4" w:space="0" w:color="000000"/>
              <w:end w:val="single" w:sz="4" w:space="0" w:color="000000"/>
            </w:tcBorders>
          </w:tcPr>
          <w:p>
            <w:pPr>
              <w:pStyle w:val="Normal"/>
              <w:rPr/>
            </w:pPr>
            <w:r>
              <w:rPr/>
              <w:t>Supply/Consumption</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Bart Burk</w:t>
            </w:r>
          </w:p>
        </w:tc>
      </w:tr>
      <w:tr>
        <w:trPr/>
        <w:tc>
          <w:tcPr>
            <w:tcW w:w="4338" w:type="dxa"/>
            <w:tcBorders>
              <w:top w:val="single" w:sz="4" w:space="0" w:color="000000"/>
              <w:start w:val="single" w:sz="4" w:space="0" w:color="000000"/>
              <w:bottom w:val="single" w:sz="4" w:space="0" w:color="000000"/>
              <w:end w:val="single" w:sz="4" w:space="0" w:color="000000"/>
            </w:tcBorders>
          </w:tcPr>
          <w:p>
            <w:pPr>
              <w:pStyle w:val="Normal"/>
              <w:rPr/>
            </w:pPr>
            <w:r>
              <w:rPr/>
              <w:t>Supply/Consumption</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Jozef Lieskovsky</w:t>
            </w:r>
          </w:p>
        </w:tc>
      </w:tr>
      <w:tr>
        <w:trPr/>
        <w:tc>
          <w:tcPr>
            <w:tcW w:w="4338" w:type="dxa"/>
            <w:tcBorders>
              <w:top w:val="single" w:sz="4" w:space="0" w:color="000000"/>
              <w:start w:val="single" w:sz="4" w:space="0" w:color="000000"/>
              <w:bottom w:val="single" w:sz="4" w:space="0" w:color="000000"/>
              <w:end w:val="single" w:sz="4" w:space="0" w:color="000000"/>
            </w:tcBorders>
          </w:tcPr>
          <w:p>
            <w:pPr>
              <w:pStyle w:val="Normal"/>
              <w:rPr/>
            </w:pPr>
            <w:r>
              <w:rPr/>
              <w:t>Supply/Consumption</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Brian Falik</w:t>
            </w:r>
          </w:p>
        </w:tc>
      </w:tr>
      <w:tr>
        <w:trPr/>
        <w:tc>
          <w:tcPr>
            <w:tcW w:w="4338" w:type="dxa"/>
            <w:tcBorders>
              <w:top w:val="single" w:sz="4" w:space="0" w:color="000000"/>
              <w:start w:val="single" w:sz="4" w:space="0" w:color="000000"/>
              <w:bottom w:val="single" w:sz="4" w:space="0" w:color="000000"/>
              <w:end w:val="single" w:sz="4" w:space="0" w:color="000000"/>
            </w:tcBorders>
          </w:tcPr>
          <w:p>
            <w:pPr>
              <w:pStyle w:val="Normal"/>
              <w:rPr/>
            </w:pPr>
            <w:r>
              <w:rPr/>
              <w:t>Supply/Consumption</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Virawan Yawapongsiri</w:t>
            </w:r>
          </w:p>
        </w:tc>
      </w:tr>
      <w:tr>
        <w:trPr/>
        <w:tc>
          <w:tcPr>
            <w:tcW w:w="4338" w:type="dxa"/>
            <w:tcBorders>
              <w:top w:val="single" w:sz="4" w:space="0" w:color="000000"/>
              <w:start w:val="single" w:sz="4" w:space="0" w:color="000000"/>
              <w:bottom w:val="single" w:sz="4" w:space="0" w:color="000000"/>
              <w:end w:val="single" w:sz="4" w:space="0" w:color="000000"/>
            </w:tcBorders>
          </w:tcPr>
          <w:p>
            <w:pPr>
              <w:pStyle w:val="Normal"/>
              <w:rPr/>
            </w:pPr>
            <w:r>
              <w:rPr/>
              <w:t>Manager Desk Fundamentals/Ops Reports</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Patrick Tucker</w:t>
            </w:r>
          </w:p>
        </w:tc>
      </w:tr>
      <w:tr>
        <w:trPr/>
        <w:tc>
          <w:tcPr>
            <w:tcW w:w="4338" w:type="dxa"/>
            <w:tcBorders>
              <w:top w:val="single" w:sz="4" w:space="0" w:color="000000"/>
              <w:start w:val="single" w:sz="4" w:space="0" w:color="000000"/>
              <w:bottom w:val="single" w:sz="4" w:space="0" w:color="000000"/>
              <w:end w:val="single" w:sz="4" w:space="0" w:color="000000"/>
            </w:tcBorders>
          </w:tcPr>
          <w:p>
            <w:pPr>
              <w:pStyle w:val="Normal"/>
              <w:rPr/>
            </w:pPr>
            <w:r>
              <w:rPr/>
              <w:t>Desk Fundamentals/Ops Reports</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Adam Bayer</w:t>
            </w:r>
          </w:p>
        </w:tc>
      </w:tr>
      <w:tr>
        <w:trPr/>
        <w:tc>
          <w:tcPr>
            <w:tcW w:w="4338" w:type="dxa"/>
            <w:tcBorders>
              <w:top w:val="single" w:sz="4" w:space="0" w:color="000000"/>
              <w:start w:val="single" w:sz="4" w:space="0" w:color="000000"/>
              <w:bottom w:val="single" w:sz="4" w:space="0" w:color="000000"/>
              <w:end w:val="single" w:sz="4" w:space="0" w:color="000000"/>
            </w:tcBorders>
          </w:tcPr>
          <w:p>
            <w:pPr>
              <w:pStyle w:val="Normal"/>
              <w:rPr/>
            </w:pPr>
            <w:r>
              <w:rPr/>
              <w:t>Desk Fundamentals/Ops Reports</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Justin O’Malley</w:t>
            </w:r>
          </w:p>
        </w:tc>
      </w:tr>
      <w:tr>
        <w:trPr/>
        <w:tc>
          <w:tcPr>
            <w:tcW w:w="4338" w:type="dxa"/>
            <w:tcBorders>
              <w:top w:val="single" w:sz="4" w:space="0" w:color="000000"/>
              <w:start w:val="single" w:sz="4" w:space="0" w:color="000000"/>
              <w:bottom w:val="single" w:sz="4" w:space="0" w:color="000000"/>
              <w:end w:val="single" w:sz="4" w:space="0" w:color="000000"/>
            </w:tcBorders>
          </w:tcPr>
          <w:p>
            <w:pPr>
              <w:pStyle w:val="Normal"/>
              <w:rPr/>
            </w:pPr>
            <w:r>
              <w:rPr/>
              <w:t>Desk Fundamentals/Ops Reports</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Vladi Pimenov</w:t>
            </w:r>
          </w:p>
        </w:tc>
      </w:tr>
      <w:tr>
        <w:trPr/>
        <w:tc>
          <w:tcPr>
            <w:tcW w:w="4338" w:type="dxa"/>
            <w:tcBorders>
              <w:top w:val="single" w:sz="4" w:space="0" w:color="000000"/>
              <w:start w:val="single" w:sz="4" w:space="0" w:color="000000"/>
              <w:bottom w:val="single" w:sz="4" w:space="0" w:color="000000"/>
              <w:end w:val="single" w:sz="4" w:space="0" w:color="000000"/>
            </w:tcBorders>
          </w:tcPr>
          <w:p>
            <w:pPr>
              <w:pStyle w:val="Normal"/>
              <w:rPr/>
            </w:pPr>
            <w:r>
              <w:rPr/>
              <w:t>Desk Fundamentals/Ops Reports</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Brent Dornier</w:t>
            </w:r>
          </w:p>
        </w:tc>
      </w:tr>
      <w:tr>
        <w:trPr/>
        <w:tc>
          <w:tcPr>
            <w:tcW w:w="4338" w:type="dxa"/>
            <w:tcBorders>
              <w:top w:val="single" w:sz="4" w:space="0" w:color="000000"/>
              <w:start w:val="single" w:sz="4" w:space="0" w:color="000000"/>
              <w:bottom w:val="single" w:sz="4" w:space="0" w:color="000000"/>
              <w:end w:val="single" w:sz="4" w:space="0" w:color="000000"/>
            </w:tcBorders>
          </w:tcPr>
          <w:p>
            <w:pPr>
              <w:pStyle w:val="Normal"/>
              <w:rPr/>
            </w:pPr>
            <w:r>
              <w:rPr/>
              <w:t>Desk Fundamentals/Ops Reports</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Jeremy Buss</w:t>
            </w:r>
          </w:p>
        </w:tc>
      </w:tr>
    </w:tbl>
    <w:p>
      <w:pPr>
        <w:pStyle w:val="CommentText"/>
        <w:rPr/>
      </w:pPr>
      <w:r>
        <w:rPr/>
      </w:r>
    </w:p>
    <w:sectPr>
      <w:headerReference w:type="default" r:id="rId6"/>
      <w:headerReference w:type="first" r:id="rId7"/>
      <w:footerReference w:type="default" r:id="rId8"/>
      <w:footerReference w:type="first" r:id="rId9"/>
      <w:type w:val="nextPage"/>
      <w:pgSz w:w="12240" w:h="15840"/>
      <w:pgMar w:left="1440" w:right="1296"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b/>
        <w:color w:val="0000FF"/>
      </w:rPr>
    </w:pPr>
    <w:r>
      <mc:AlternateContent>
        <mc:Choice Requires="wps">
          <w:drawing>
            <wp:anchor behindDoc="1" distT="0" distB="0" distL="114935" distR="114935" simplePos="0" locked="0" layoutInCell="1" allowOverlap="1" relativeHeight="28">
              <wp:simplePos x="0" y="0"/>
              <wp:positionH relativeFrom="column">
                <wp:posOffset>-45720</wp:posOffset>
              </wp:positionH>
              <wp:positionV relativeFrom="paragraph">
                <wp:posOffset>-60960</wp:posOffset>
              </wp:positionV>
              <wp:extent cx="5577840" cy="0"/>
              <wp:effectExtent l="0" t="14605" r="0" b="14605"/>
              <wp:wrapNone/>
              <wp:docPr id="4"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4.8pt" to="435.55pt,-4.8pt" stroked="t" o:allowincell="f" style="position:absolute">
              <v:stroke color="blue" weight="28440" joinstyle="miter" endcap="flat"/>
              <v:fill o:detectmouseclick="t" on="false"/>
              <w10:wrap type="none"/>
            </v:line>
          </w:pict>
        </mc:Fallback>
      </mc:AlternateContent>
    </w:r>
    <w:r>
      <w:rPr>
        <w:rFonts w:cs="Arial" w:ascii="Arial" w:hAnsi="Arial"/>
        <w:b/>
        <w:color w:val="0000FF"/>
        <w:lang w:val="en-CA" w:eastAsia="en-CA"/>
      </w:rPr>
      <w:t>Gas Fundamentals</w:t>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64135" cy="146685"/>
              <wp:effectExtent l="0" t="0" r="0" b="0"/>
              <wp:wrapSquare wrapText="bothSides"/>
              <wp:docPr id="5"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b/>
                              <w:color w:val="0000FF"/>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6</w:t>
                          </w:r>
                          <w:r>
                            <w:rPr>
                              <w:rStyle w:val="PageNumber"/>
                              <w:b/>
                              <w:color w:val="0000FF"/>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70.15pt;mso-position-horizontal:right;mso-position-horizontal-relative:margin">
              <v:fill opacity="0f"/>
              <v:textbox inset="0in,0in,0in,0in">
                <w:txbxContent>
                  <w:p>
                    <w:pPr>
                      <w:pStyle w:val="Footer"/>
                      <w:rPr>
                        <w:rStyle w:val="PageNumber"/>
                        <w:b/>
                        <w:color w:val="0000FF"/>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6</w:t>
                    </w:r>
                    <w:r>
                      <w:rPr>
                        <w:rStyle w:val="PageNumber"/>
                        <w:b/>
                        <w:color w:val="0000FF"/>
                      </w:rPr>
                      <w:fldChar w:fldCharType="end"/>
                    </w:r>
                  </w:p>
                </w:txbxContent>
              </v:textbox>
              <w10:wrap type="square"/>
            </v:rect>
          </w:pict>
        </mc:Fallback>
      </mc:AlternateContent>
    </w:r>
  </w:p>
  <w:p>
    <w:pPr>
      <w:pStyle w:val="Footer"/>
      <w:ind w:end="360"/>
      <w:rPr>
        <w:rFonts w:ascii="Arial" w:hAnsi="Arial" w:cs="Arial"/>
        <w:b/>
        <w:i/>
        <w:i/>
        <w:color w:val="0000FF"/>
      </w:rPr>
    </w:pPr>
    <w:r>
      <w:rPr>
        <w:rFonts w:cs="Arial" w:ascii="Arial" w:hAnsi="Arial"/>
        <w:b/>
        <w:i/>
        <w:color w:val="0000FF"/>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23">
              <wp:simplePos x="0" y="0"/>
              <wp:positionH relativeFrom="column">
                <wp:posOffset>-45720</wp:posOffset>
              </wp:positionH>
              <wp:positionV relativeFrom="paragraph">
                <wp:posOffset>274320</wp:posOffset>
              </wp:positionV>
              <wp:extent cx="5577840" cy="0"/>
              <wp:effectExtent l="0" t="14605" r="0" b="14605"/>
              <wp:wrapNone/>
              <wp:docPr id="2"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21.6pt" to="435.55pt,21.6pt" stroked="t" o:allowincell="f" style="position:absolute">
              <v:stroke color="blue" weight="28440" joinstyle="miter" endcap="flat"/>
              <v:fill o:detectmouseclick="t" on="false"/>
              <w10:wrap type="none"/>
            </v:line>
          </w:pict>
        </mc:Fallback>
      </mc:AlternateContent>
    </w:r>
    <w:r>
      <mc:AlternateContent>
        <mc:Choice Requires="wps">
          <w:drawing>
            <wp:anchor behindDoc="0" distT="0" distB="0" distL="114300" distR="114300" simplePos="0" locked="0" layoutInCell="0" allowOverlap="1" relativeHeight="13">
              <wp:simplePos x="0" y="0"/>
              <wp:positionH relativeFrom="page">
                <wp:posOffset>6127115</wp:posOffset>
              </wp:positionH>
              <wp:positionV relativeFrom="paragraph">
                <wp:posOffset>-275590</wp:posOffset>
              </wp:positionV>
              <wp:extent cx="455930" cy="455295"/>
              <wp:effectExtent l="0" t="0" r="0" b="0"/>
              <wp:wrapSquare wrapText="bothSides"/>
              <wp:docPr id="3" name="Frame3"/>
              <a:graphic xmlns:a="http://schemas.openxmlformats.org/drawingml/2006/main">
                <a:graphicData uri="http://schemas.microsoft.com/office/word/2010/wordprocessingShape">
                  <wps:wsp>
                    <wps:cNvSpPr txBox="1"/>
                    <wps:spPr>
                      <a:xfrm>
                        <a:off x="0" y="0"/>
                        <a:ext cx="455930" cy="455295"/>
                      </a:xfrm>
                      <a:prstGeom prst="rect"/>
                      <a:solidFill>
                        <a:srgbClr val="FFFFFF">
                          <a:alpha val="0"/>
                        </a:srgbClr>
                      </a:solidFill>
                    </wps:spPr>
                    <wps:txbx>
                      <w:txbxContent>
                        <w:p>
                          <w:pPr>
                            <w:pStyle w:val="Normal"/>
                            <w:rPr/>
                          </w:pPr>
                          <w:r>
                            <w:rPr/>
                            <w:object w:dxaOrig="4816" w:dyaOrig="4817">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5.85pt;height:35.85pt" filled="f" o:ole="">
                                <v:imagedata r:id="rId2" o:title=""/>
                              </v:shape>
                              <o:OLEObject Type="Embed" ProgID="" ShapeID="ole_rId1" DrawAspect="Content" ObjectID="_1937864671" r:id="rId1"/>
                            </w:object>
                          </w:r>
                        </w:p>
                      </w:txbxContent>
                    </wps:txbx>
                    <wps:bodyPr anchor="t" lIns="0" tIns="0" rIns="0" bIns="0">
                      <a:noAutofit/>
                    </wps:bodyPr>
                  </wps:wsp>
                </a:graphicData>
              </a:graphic>
            </wp:anchor>
          </w:drawing>
        </mc:Choice>
        <mc:Fallback>
          <w:pict>
            <v:rect fillcolor="#FFFFFF" style="position:absolute;rotation:-0;width:35.9pt;height:35.85pt;mso-wrap-distance-left:9pt;mso-wrap-distance-right:9pt;mso-wrap-distance-top:0pt;mso-wrap-distance-bottom:0pt;margin-top:-21.7pt;mso-position-vertical-relative:text;margin-left:482.45pt;mso-position-horizontal-relative:page">
              <v:fill opacity="0f"/>
              <v:textbox inset="0in,0in,0in,0in">
                <w:txbxContent>
                  <w:p>
                    <w:pPr>
                      <w:pStyle w:val="Normal"/>
                      <w:rPr/>
                    </w:pPr>
                    <w:r>
                      <w:rPr/>
                      <w:object w:dxaOrig="4816" w:dyaOrig="4817">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5.85pt;height:35.85pt" filled="f" o:ole="">
                          <v:imagedata r:id="rId4" o:title=""/>
                        </v:shape>
                        <o:OLEObject Type="Embed" ProgID="" ShapeID="ole_rId3" DrawAspect="Content" ObjectID="_73513542" r:id="rId3"/>
                      </w:objec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1170"/>
        </w:tabs>
        <w:ind w:start="1170" w:hanging="360"/>
      </w:pPr>
      <w:rPr>
        <w:rFonts w:ascii="Symbol" w:hAnsi="Symbol" w:cs="Symbol" w:hint="default"/>
      </w:rPr>
    </w:lvl>
    <w:lvl w:ilvl="1">
      <w:start w:val="1"/>
      <w:numFmt w:val="bullet"/>
      <w:lvlText w:val="o"/>
      <w:lvlJc w:val="start"/>
      <w:pPr>
        <w:tabs>
          <w:tab w:val="num" w:pos="1890"/>
        </w:tabs>
        <w:ind w:start="1890" w:hanging="360"/>
      </w:pPr>
      <w:rPr>
        <w:rFonts w:ascii="Courier New" w:hAnsi="Courier New" w:cs="Courier New" w:hint="default"/>
      </w:rPr>
    </w:lvl>
    <w:lvl w:ilvl="2">
      <w:start w:val="1"/>
      <w:numFmt w:val="bullet"/>
      <w:lvlText w:val=""/>
      <w:lvlJc w:val="start"/>
      <w:pPr>
        <w:tabs>
          <w:tab w:val="num" w:pos="2610"/>
        </w:tabs>
        <w:ind w:start="2610" w:hanging="360"/>
      </w:pPr>
      <w:rPr>
        <w:rFonts w:ascii="Wingdings" w:hAnsi="Wingdings" w:cs="Wingdings" w:hint="default"/>
      </w:rPr>
    </w:lvl>
    <w:lvl w:ilvl="3">
      <w:start w:val="1"/>
      <w:numFmt w:val="bullet"/>
      <w:lvlText w:val=""/>
      <w:lvlJc w:val="start"/>
      <w:pPr>
        <w:tabs>
          <w:tab w:val="num" w:pos="3330"/>
        </w:tabs>
        <w:ind w:start="3330" w:hanging="360"/>
      </w:pPr>
      <w:rPr>
        <w:rFonts w:ascii="Symbol" w:hAnsi="Symbol" w:cs="Symbol" w:hint="default"/>
      </w:rPr>
    </w:lvl>
    <w:lvl w:ilvl="4">
      <w:start w:val="1"/>
      <w:numFmt w:val="bullet"/>
      <w:lvlText w:val="o"/>
      <w:lvlJc w:val="start"/>
      <w:pPr>
        <w:tabs>
          <w:tab w:val="num" w:pos="4050"/>
        </w:tabs>
        <w:ind w:start="4050" w:hanging="360"/>
      </w:pPr>
      <w:rPr>
        <w:rFonts w:ascii="Courier New" w:hAnsi="Courier New" w:cs="Courier New" w:hint="default"/>
      </w:rPr>
    </w:lvl>
    <w:lvl w:ilvl="5">
      <w:start w:val="1"/>
      <w:numFmt w:val="bullet"/>
      <w:lvlText w:val=""/>
      <w:lvlJc w:val="start"/>
      <w:pPr>
        <w:tabs>
          <w:tab w:val="num" w:pos="4770"/>
        </w:tabs>
        <w:ind w:start="4770" w:hanging="360"/>
      </w:pPr>
      <w:rPr>
        <w:rFonts w:ascii="Wingdings" w:hAnsi="Wingdings" w:cs="Wingdings" w:hint="default"/>
      </w:rPr>
    </w:lvl>
    <w:lvl w:ilvl="6">
      <w:start w:val="1"/>
      <w:numFmt w:val="bullet"/>
      <w:lvlText w:val=""/>
      <w:lvlJc w:val="start"/>
      <w:pPr>
        <w:tabs>
          <w:tab w:val="num" w:pos="5490"/>
        </w:tabs>
        <w:ind w:start="5490" w:hanging="360"/>
      </w:pPr>
      <w:rPr>
        <w:rFonts w:ascii="Symbol" w:hAnsi="Symbol" w:cs="Symbol" w:hint="default"/>
      </w:rPr>
    </w:lvl>
    <w:lvl w:ilvl="7">
      <w:start w:val="1"/>
      <w:numFmt w:val="bullet"/>
      <w:lvlText w:val="o"/>
      <w:lvlJc w:val="start"/>
      <w:pPr>
        <w:tabs>
          <w:tab w:val="num" w:pos="6210"/>
        </w:tabs>
        <w:ind w:start="6210" w:hanging="360"/>
      </w:pPr>
      <w:rPr>
        <w:rFonts w:ascii="Courier New" w:hAnsi="Courier New" w:cs="Courier New" w:hint="default"/>
      </w:rPr>
    </w:lvl>
    <w:lvl w:ilvl="8">
      <w:start w:val="1"/>
      <w:numFmt w:val="bullet"/>
      <w:lvlText w:val=""/>
      <w:lvlJc w:val="start"/>
      <w:pPr>
        <w:tabs>
          <w:tab w:val="num" w:pos="6930"/>
        </w:tabs>
        <w:ind w:start="693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pageBreakBefore/>
      <w:numPr>
        <w:ilvl w:val="0"/>
        <w:numId w:val="1"/>
      </w:numPr>
      <w:spacing w:before="120" w:after="60"/>
      <w:ind w:hanging="431" w:start="431" w:end="0"/>
      <w:outlineLvl w:val="0"/>
    </w:pPr>
    <w:rPr>
      <w:rFonts w:ascii="Arial" w:hAnsi="Arial" w:cs="Arial"/>
      <w:b/>
      <w:color w:val="000080"/>
      <w:kern w:val="2"/>
      <w:sz w:val="28"/>
    </w:rPr>
  </w:style>
  <w:style w:type="paragraph" w:styleId="Heading2">
    <w:name w:val="heading 2"/>
    <w:basedOn w:val="Normal"/>
    <w:next w:val="Normal"/>
    <w:qFormat/>
    <w:pPr>
      <w:keepNext w:val="true"/>
      <w:numPr>
        <w:ilvl w:val="1"/>
        <w:numId w:val="1"/>
      </w:numPr>
      <w:spacing w:before="120" w:after="60"/>
      <w:ind w:hanging="578" w:start="578" w:end="0"/>
      <w:outlineLvl w:val="1"/>
    </w:pPr>
    <w:rPr>
      <w:rFonts w:ascii="Arial" w:hAnsi="Arial" w:cs="Arial"/>
      <w:b/>
      <w:color w:val="000080"/>
      <w:sz w:val="24"/>
    </w:rPr>
  </w:style>
  <w:style w:type="paragraph" w:styleId="Heading3">
    <w:name w:val="heading 3"/>
    <w:basedOn w:val="Normal"/>
    <w:next w:val="Normal"/>
    <w:qFormat/>
    <w:pPr>
      <w:keepNext w:val="true"/>
      <w:numPr>
        <w:ilvl w:val="2"/>
        <w:numId w:val="1"/>
      </w:numPr>
      <w:spacing w:before="60" w:after="60"/>
      <w:outlineLvl w:val="2"/>
    </w:pPr>
    <w:rPr>
      <w:rFonts w:ascii="Arial" w:hAnsi="Arial" w:cs="Arial"/>
      <w:b/>
      <w:color w:val="000080"/>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i/>
      <w:color w:val="000080"/>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Wingdings" w:hAnsi="Wingdings" w:cs="Wingdings"/>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5z5">
    <w:name w:val="WW8Num5z5"/>
    <w:qFormat/>
    <w:rPr>
      <w:rFonts w:ascii="Wingdings" w:hAnsi="Wingdings" w:cs="Wingdings"/>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1z5">
    <w:name w:val="WW8Num11z5"/>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7z0">
    <w:name w:val="WW8Num27z0"/>
    <w:qFormat/>
    <w:rPr>
      <w:rFonts w:ascii="Symbol" w:hAnsi="Symbol" w:cs="Symbol"/>
      <w:sz w:val="20"/>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Wingdings" w:hAnsi="Wingdings" w:cs="Wingdings"/>
    </w:rPr>
  </w:style>
  <w:style w:type="character" w:styleId="WW8Num29z0">
    <w:name w:val="WW8Num29z0"/>
    <w:qFormat/>
    <w:rPr>
      <w:rFonts w:ascii="Symbol" w:hAnsi="Symbol" w:cs="Symbol"/>
      <w:sz w:val="20"/>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29z5">
    <w:name w:val="WW8Num29z5"/>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sz w:val="20"/>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b w:val="false"/>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Symbol" w:hAnsi="Symbol" w:cs="Symbol"/>
      <w:sz w:val="2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sz w:val="20"/>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7z0">
    <w:name w:val="WW8Num57z0"/>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Wingdings" w:hAnsi="Wingdings" w:cs="Wingdings"/>
    </w:rPr>
  </w:style>
  <w:style w:type="character" w:styleId="WW8Num60z0">
    <w:name w:val="WW8Num60z0"/>
    <w:qFormat/>
    <w:rPr>
      <w:rFonts w:ascii="Symbol" w:hAnsi="Symbol" w:cs="Symbol"/>
      <w:sz w:val="20"/>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rFonts w:ascii="Symbol" w:hAnsi="Symbol" w:cs="Symbol"/>
      <w:sz w:val="20"/>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4z5">
    <w:name w:val="WW8Num64z5"/>
    <w:qFormat/>
    <w:rPr>
      <w:rFonts w:ascii="Wingdings" w:hAnsi="Wingdings" w:cs="Wingdings"/>
    </w:rPr>
  </w:style>
  <w:style w:type="character" w:styleId="WW8Num65z0">
    <w:name w:val="WW8Num65z0"/>
    <w:qFormat/>
    <w:rPr>
      <w:rFonts w:ascii="Symbol" w:hAnsi="Symbol" w:cs="Symbol"/>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rPr>
  </w:style>
  <w:style w:type="character" w:styleId="WW8Num69z0">
    <w:name w:val="WW8Num69z0"/>
    <w:qFormat/>
    <w:rPr>
      <w:rFonts w:ascii="Symbol" w:hAnsi="Symbol" w:cs="Symbol"/>
      <w:sz w:val="20"/>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Wingdings" w:hAnsi="Wingdings" w:cs="Wingdings"/>
    </w:rPr>
  </w:style>
  <w:style w:type="character" w:styleId="WW8Num72z0">
    <w:name w:val="WW8Num72z0"/>
    <w:qFormat/>
    <w:rPr>
      <w:rFonts w:ascii="Symbol" w:hAnsi="Symbol" w:cs="Symbol"/>
      <w:sz w:val="20"/>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rFonts w:ascii="Symbol" w:hAnsi="Symbol" w:cs="Symbol"/>
      <w:sz w:val="20"/>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style>
  <w:style w:type="character" w:styleId="WW8Num78z0">
    <w:name w:val="WW8Num78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sz w:val="20"/>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2z0">
    <w:name w:val="WW8Num82z0"/>
    <w:qFormat/>
    <w:rPr>
      <w:rFonts w:ascii="Wingdings" w:hAnsi="Wingdings" w:cs="Wingdings"/>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Wingdings" w:hAnsi="Wingdings" w:cs="Wingdings"/>
    </w:rPr>
  </w:style>
  <w:style w:type="character" w:styleId="WW8Num85z0">
    <w:name w:val="WW8Num85z0"/>
    <w:qFormat/>
    <w:rPr>
      <w:rFonts w:ascii="Wingdings" w:hAnsi="Wingdings" w:cs="Wingdings"/>
    </w:rPr>
  </w:style>
  <w:style w:type="character" w:styleId="WW8Num86z0">
    <w:name w:val="WW8Num86z0"/>
    <w:qFormat/>
    <w:rPr>
      <w:rFonts w:ascii="Wingdings" w:hAnsi="Wingdings" w:cs="Wingdings"/>
    </w:rPr>
  </w:style>
  <w:style w:type="character" w:styleId="WW8Num87z0">
    <w:name w:val="WW8Num87z0"/>
    <w:qFormat/>
    <w:rPr>
      <w:rFonts w:ascii="Symbol" w:hAnsi="Symbol" w:cs="Symbol"/>
      <w:sz w:val="20"/>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8z0">
    <w:name w:val="WW8Num88z0"/>
    <w:qFormat/>
    <w:rPr>
      <w:rFonts w:ascii="Symbol" w:hAnsi="Symbol" w:cs="Symbol"/>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9z0">
    <w:name w:val="WW8Num89z0"/>
    <w:qFormat/>
    <w:rPr>
      <w:rFonts w:ascii="Wingdings" w:hAnsi="Wingdings" w:cs="Wingdings"/>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rFonts w:ascii="Symbol" w:hAnsi="Symbol" w:cs="Symbol"/>
    </w:rPr>
  </w:style>
  <w:style w:type="character" w:styleId="WW8Num92z0">
    <w:name w:val="WW8Num92z0"/>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Wingdings" w:hAnsi="Wingdings" w:cs="Wingdings"/>
    </w:rPr>
  </w:style>
  <w:style w:type="character" w:styleId="WW8Num94z0">
    <w:name w:val="WW8Num94z0"/>
    <w:qFormat/>
    <w:rPr>
      <w:b w:val="false"/>
    </w:rPr>
  </w:style>
  <w:style w:type="character" w:styleId="WW8Num95z0">
    <w:name w:val="WW8Num95z0"/>
    <w:qFormat/>
    <w:rPr>
      <w:rFonts w:ascii="Symbol" w:hAnsi="Symbol" w:cs="Symbol"/>
      <w:sz w:val="20"/>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sz w:val="20"/>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99z0">
    <w:name w:val="WW8Num99z0"/>
    <w:qFormat/>
    <w:rPr>
      <w:rFonts w:ascii="Wingdings" w:hAnsi="Wingdings" w:cs="Wingdings"/>
    </w:rPr>
  </w:style>
  <w:style w:type="character" w:styleId="WW8Num100z0">
    <w:name w:val="WW8Num100z0"/>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style>
  <w:style w:type="character" w:styleId="WW8Num106z0">
    <w:name w:val="WW8Num106z0"/>
    <w:qFormat/>
    <w:rPr>
      <w:rFonts w:ascii="Wingdings" w:hAnsi="Wingdings" w:cs="Wingdings"/>
    </w:rPr>
  </w:style>
  <w:style w:type="character" w:styleId="WW8Num107z0">
    <w:name w:val="WW8Num107z0"/>
    <w:qFormat/>
    <w:rPr>
      <w:rFonts w:ascii="Symbol" w:hAnsi="Symbol" w:cs="Symbol"/>
    </w:rPr>
  </w:style>
  <w:style w:type="character" w:styleId="WW8Num108z0">
    <w:name w:val="WW8Num108z0"/>
    <w:qFormat/>
    <w:rPr>
      <w:rFonts w:ascii="Courier New" w:hAnsi="Courier New" w:cs="Courier New"/>
    </w:rPr>
  </w:style>
  <w:style w:type="character" w:styleId="WW8Num108z2">
    <w:name w:val="WW8Num108z2"/>
    <w:qFormat/>
    <w:rPr>
      <w:rFonts w:ascii="Wingdings" w:hAnsi="Wingdings" w:cs="Wingdings"/>
    </w:rPr>
  </w:style>
  <w:style w:type="character" w:styleId="WW8Num108z3">
    <w:name w:val="WW8Num108z3"/>
    <w:qFormat/>
    <w:rPr>
      <w:rFonts w:ascii="Symbol" w:hAnsi="Symbol" w:cs="Symbol"/>
    </w:rPr>
  </w:style>
  <w:style w:type="character" w:styleId="WW8Num109z0">
    <w:name w:val="WW8Num109z0"/>
    <w:qFormat/>
    <w:rPr>
      <w:rFonts w:ascii="Wingdings" w:hAnsi="Wingdings" w:cs="Wingdings"/>
    </w:rPr>
  </w:style>
  <w:style w:type="character" w:styleId="WW8Num110z0">
    <w:name w:val="WW8Num110z0"/>
    <w:qFormat/>
    <w:rPr>
      <w:rFonts w:ascii="Wingdings" w:hAnsi="Wingdings" w:cs="Wingdings"/>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sz w:val="20"/>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3z3">
    <w:name w:val="WW8Num113z3"/>
    <w:qFormat/>
    <w:rPr>
      <w:rFonts w:ascii="Symbol" w:hAnsi="Symbol" w:cs="Symbol"/>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rFonts w:ascii="Symbol" w:hAnsi="Symbol" w:cs="Symbol"/>
    </w:rPr>
  </w:style>
  <w:style w:type="character" w:styleId="WW8Num117z0">
    <w:name w:val="WW8Num117z0"/>
    <w:qFormat/>
    <w:rPr>
      <w:rFonts w:ascii="Wingdings" w:hAnsi="Wingdings" w:cs="Wingdings"/>
    </w:rPr>
  </w:style>
  <w:style w:type="character" w:styleId="WW8Num118z0">
    <w:name w:val="WW8Num118z0"/>
    <w:qFormat/>
    <w:rPr>
      <w:rFonts w:ascii="Wingdings" w:hAnsi="Wingdings" w:cs="Wingdings"/>
    </w:rPr>
  </w:style>
  <w:style w:type="character" w:styleId="WW8Num120z0">
    <w:name w:val="WW8Num120z0"/>
    <w:qFormat/>
    <w:rPr>
      <w:rFonts w:ascii="Symbol" w:hAnsi="Symbol" w:cs="Symbol"/>
      <w:sz w:val="20"/>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Wingdings" w:hAnsi="Wingdings" w:cs="Wingdings"/>
    </w:rPr>
  </w:style>
  <w:style w:type="character" w:styleId="WW8Num122z0">
    <w:name w:val="WW8Num122z0"/>
    <w:qFormat/>
    <w:rPr>
      <w:rFonts w:ascii="Symbol" w:hAnsi="Symbol" w:cs="Symbol"/>
    </w:rPr>
  </w:style>
  <w:style w:type="character" w:styleId="WW8Num123z0">
    <w:name w:val="WW8Num123z0"/>
    <w:qFormat/>
    <w:rPr>
      <w:rFonts w:ascii="Symbol" w:hAnsi="Symbol" w:cs="Symbol"/>
      <w:sz w:val="20"/>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3z3">
    <w:name w:val="WW8Num123z3"/>
    <w:qFormat/>
    <w:rPr>
      <w:rFonts w:ascii="Symbol" w:hAnsi="Symbol" w:cs="Symbol"/>
    </w:rPr>
  </w:style>
  <w:style w:type="character" w:styleId="WW8Num124z0">
    <w:name w:val="WW8Num124z0"/>
    <w:qFormat/>
    <w:rPr/>
  </w:style>
  <w:style w:type="character" w:styleId="WW8Num125z0">
    <w:name w:val="WW8Num125z0"/>
    <w:qFormat/>
    <w:rPr>
      <w:rFonts w:ascii="Symbol" w:hAnsi="Symbol" w:cs="Symbol"/>
    </w:rPr>
  </w:style>
  <w:style w:type="character" w:styleId="WW8Num127z0">
    <w:name w:val="WW8Num127z0"/>
    <w:qFormat/>
    <w:rPr>
      <w:rFonts w:ascii="Symbol" w:hAnsi="Symbol" w:cs="Symbol"/>
      <w:sz w:val="20"/>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128z0">
    <w:name w:val="WW8Num128z0"/>
    <w:qFormat/>
    <w:rPr>
      <w:rFonts w:ascii="Wingdings" w:hAnsi="Wingdings" w:cs="Wingdings"/>
    </w:rPr>
  </w:style>
  <w:style w:type="character" w:styleId="WW8Num129z0">
    <w:name w:val="WW8Num129z0"/>
    <w:qFormat/>
    <w:rPr>
      <w:rFonts w:ascii="Wingdings" w:hAnsi="Wingdings" w:cs="Wingdings"/>
    </w:rPr>
  </w:style>
  <w:style w:type="character" w:styleId="WW8Num130z0">
    <w:name w:val="WW8Num130z0"/>
    <w:qFormat/>
    <w:rPr>
      <w:rFonts w:ascii="Symbol" w:hAnsi="Symbol" w:cs="Symbol"/>
      <w:sz w:val="20"/>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6">
    <w:name w:val="WW8Num130z6"/>
    <w:qFormat/>
    <w:rPr>
      <w:rFonts w:ascii="Symbol" w:hAnsi="Symbol" w:cs="Symbol"/>
    </w:rPr>
  </w:style>
  <w:style w:type="character" w:styleId="WW8Num131z0">
    <w:name w:val="WW8Num131z0"/>
    <w:qFormat/>
    <w:rPr>
      <w:rFonts w:ascii="Symbol" w:hAnsi="Symbol" w:cs="Symbol"/>
      <w:sz w:val="20"/>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Courier New" w:hAnsi="Courier New" w:cs="Courier New"/>
    </w:rPr>
  </w:style>
  <w:style w:type="character" w:styleId="WW8Num134z2">
    <w:name w:val="WW8Num134z2"/>
    <w:qFormat/>
    <w:rPr>
      <w:rFonts w:ascii="Wingdings" w:hAnsi="Wingdings" w:cs="Wingdings"/>
    </w:rPr>
  </w:style>
  <w:style w:type="character" w:styleId="WW8Num134z3">
    <w:name w:val="WW8Num134z3"/>
    <w:qFormat/>
    <w:rPr>
      <w:rFonts w:ascii="Symbol" w:hAnsi="Symbol" w:cs="Symbol"/>
    </w:rPr>
  </w:style>
  <w:style w:type="character" w:styleId="WW8Num135z0">
    <w:name w:val="WW8Num135z0"/>
    <w:qFormat/>
    <w:rPr>
      <w:rFonts w:ascii="Wingdings" w:hAnsi="Wingdings" w:cs="Wingdings"/>
    </w:rPr>
  </w:style>
  <w:style w:type="character" w:styleId="WW8Num136z0">
    <w:name w:val="WW8Num136z0"/>
    <w:qFormat/>
    <w:rPr>
      <w:rFonts w:ascii="Symbol" w:hAnsi="Symbol" w:cs="Symbol"/>
      <w:sz w:val="2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Wingdings" w:hAnsi="Wingdings" w:cs="Wingdings"/>
    </w:rPr>
  </w:style>
  <w:style w:type="character" w:styleId="WW8Num139z0">
    <w:name w:val="WW8Num139z0"/>
    <w:qFormat/>
    <w:rPr>
      <w:rFonts w:ascii="Symbol" w:hAnsi="Symbol" w:cs="Symbol"/>
      <w:sz w:val="20"/>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39z3">
    <w:name w:val="WW8Num139z3"/>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rFonts w:ascii="Wingdings" w:hAnsi="Wingdings" w:cs="Wingdings"/>
    </w:rPr>
  </w:style>
  <w:style w:type="character" w:styleId="WW8Num143z0">
    <w:name w:val="WW8Num143z0"/>
    <w:qFormat/>
    <w:rPr>
      <w:rFonts w:ascii="Symbol" w:hAnsi="Symbol" w:cs="Symbol"/>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4z0">
    <w:name w:val="WW8Num144z0"/>
    <w:qFormat/>
    <w:rPr>
      <w:rFonts w:ascii="Symbol" w:hAnsi="Symbol" w:cs="Symbol"/>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5z0">
    <w:name w:val="WW8Num145z0"/>
    <w:qFormat/>
    <w:rPr>
      <w:rFonts w:ascii="Symbol" w:hAnsi="Symbol" w:cs="Symbol"/>
    </w:rPr>
  </w:style>
  <w:style w:type="character" w:styleId="WW8Num147z0">
    <w:name w:val="WW8Num147z0"/>
    <w:qFormat/>
    <w:rPr>
      <w:rFonts w:ascii="Wingdings" w:hAnsi="Wingdings" w:cs="Wingdings"/>
    </w:rPr>
  </w:style>
  <w:style w:type="character" w:styleId="WW8Num148z0">
    <w:name w:val="WW8Num148z0"/>
    <w:qFormat/>
    <w:rPr>
      <w:rFonts w:ascii="Symbol" w:hAnsi="Symbol" w:cs="Symbol"/>
      <w:sz w:val="20"/>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8z3">
    <w:name w:val="WW8Num148z3"/>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Wingdings" w:hAnsi="Wingdings" w:cs="Wingdings"/>
    </w:rPr>
  </w:style>
  <w:style w:type="character" w:styleId="WW8Num151z0">
    <w:name w:val="WW8Num151z0"/>
    <w:qFormat/>
    <w:rPr>
      <w:rFonts w:ascii="Symbol" w:hAnsi="Symbol" w:cs="Symbol"/>
    </w:rPr>
  </w:style>
  <w:style w:type="character" w:styleId="WW8Num152z0">
    <w:name w:val="WW8Num152z0"/>
    <w:qFormat/>
    <w:rPr>
      <w:rFonts w:ascii="Symbol" w:hAnsi="Symbol" w:cs="Symbol"/>
      <w:sz w:val="20"/>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2z6">
    <w:name w:val="WW8Num152z6"/>
    <w:qFormat/>
    <w:rPr>
      <w:rFonts w:ascii="Symbol" w:hAnsi="Symbol" w:cs="Symbol"/>
    </w:rPr>
  </w:style>
  <w:style w:type="character" w:styleId="WW8Num154z0">
    <w:name w:val="WW8Num154z0"/>
    <w:qFormat/>
    <w:rPr/>
  </w:style>
  <w:style w:type="character" w:styleId="WW8Num155z0">
    <w:name w:val="WW8Num155z0"/>
    <w:qFormat/>
    <w:rPr>
      <w:rFonts w:ascii="Wingdings" w:hAnsi="Wingdings" w:cs="Wingdings"/>
    </w:rPr>
  </w:style>
  <w:style w:type="character" w:styleId="WW8Num156z0">
    <w:name w:val="WW8Num156z0"/>
    <w:qFormat/>
    <w:rPr>
      <w:rFonts w:ascii="Symbol" w:hAnsi="Symbol" w:cs="Symbol"/>
    </w:rPr>
  </w:style>
  <w:style w:type="character" w:styleId="WW8Num157z0">
    <w:name w:val="WW8Num157z0"/>
    <w:qFormat/>
    <w:rPr>
      <w:rFonts w:ascii="Symbol" w:hAnsi="Symbol" w:cs="Symbol"/>
      <w:sz w:val="20"/>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7z3">
    <w:name w:val="WW8Num157z3"/>
    <w:qFormat/>
    <w:rPr>
      <w:rFonts w:ascii="Symbol" w:hAnsi="Symbol" w:cs="Symbol"/>
    </w:rPr>
  </w:style>
  <w:style w:type="character" w:styleId="WW8Num158z0">
    <w:name w:val="WW8Num158z0"/>
    <w:qFormat/>
    <w:rPr>
      <w:rFonts w:ascii="Symbol" w:hAnsi="Symbol" w:cs="Symbol"/>
      <w:sz w:val="20"/>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8z3">
    <w:name w:val="WW8Num158z3"/>
    <w:qFormat/>
    <w:rPr>
      <w:rFonts w:ascii="Symbol" w:hAnsi="Symbol" w:cs="Symbol"/>
    </w:rPr>
  </w:style>
  <w:style w:type="character" w:styleId="WW8Num159z0">
    <w:name w:val="WW8Num159z0"/>
    <w:qFormat/>
    <w:rPr>
      <w:rFonts w:ascii="Wingdings" w:hAnsi="Wingdings" w:cs="Wingdings"/>
    </w:rPr>
  </w:style>
  <w:style w:type="character" w:styleId="WW8Num160z0">
    <w:name w:val="WW8Num160z0"/>
    <w:qFormat/>
    <w:rPr>
      <w:rFonts w:ascii="Symbol" w:hAnsi="Symbol" w:cs="Symbol"/>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1z0">
    <w:name w:val="WW8Num161z0"/>
    <w:qFormat/>
    <w:rPr>
      <w:rFonts w:ascii="Symbol" w:hAnsi="Symbol" w:cs="Symbol"/>
    </w:rPr>
  </w:style>
  <w:style w:type="character" w:styleId="WW8Num162z0">
    <w:name w:val="WW8Num162z0"/>
    <w:qFormat/>
    <w:rPr>
      <w:rFonts w:ascii="Wingdings" w:hAnsi="Wingdings" w:cs="Wingdings"/>
    </w:rPr>
  </w:style>
  <w:style w:type="character" w:styleId="WW8Num163z0">
    <w:name w:val="WW8Num163z0"/>
    <w:qFormat/>
    <w:rPr>
      <w:rFonts w:ascii="Symbol" w:hAnsi="Symbol" w:cs="Symbol"/>
      <w:sz w:val="20"/>
    </w:rPr>
  </w:style>
  <w:style w:type="character" w:styleId="WW8Num163z1">
    <w:name w:val="WW8Num163z1"/>
    <w:qFormat/>
    <w:rPr>
      <w:rFonts w:ascii="Courier New" w:hAnsi="Courier New" w:cs="Courier New"/>
    </w:rPr>
  </w:style>
  <w:style w:type="character" w:styleId="WW8Num163z2">
    <w:name w:val="WW8Num163z2"/>
    <w:qFormat/>
    <w:rPr>
      <w:rFonts w:ascii="Wingdings" w:hAnsi="Wingdings" w:cs="Wingdings"/>
    </w:rPr>
  </w:style>
  <w:style w:type="character" w:styleId="WW8Num163z3">
    <w:name w:val="WW8Num163z3"/>
    <w:qFormat/>
    <w:rPr>
      <w:rFonts w:ascii="Symbol" w:hAnsi="Symbol" w:cs="Symbol"/>
    </w:rPr>
  </w:style>
  <w:style w:type="character" w:styleId="WW8Num164z0">
    <w:name w:val="WW8Num164z0"/>
    <w:qFormat/>
    <w:rPr>
      <w:rFonts w:ascii="Wingdings" w:hAnsi="Wingdings" w:cs="Wingdings"/>
    </w:rPr>
  </w:style>
  <w:style w:type="character" w:styleId="WW8Num165z0">
    <w:name w:val="WW8Num165z0"/>
    <w:qFormat/>
    <w:rPr>
      <w:rFonts w:ascii="Courier New" w:hAnsi="Courier New" w:cs="Courier New"/>
    </w:rPr>
  </w:style>
  <w:style w:type="character" w:styleId="WW8Num165z2">
    <w:name w:val="WW8Num165z2"/>
    <w:qFormat/>
    <w:rPr>
      <w:rFonts w:ascii="Wingdings" w:hAnsi="Wingdings" w:cs="Wingdings"/>
    </w:rPr>
  </w:style>
  <w:style w:type="character" w:styleId="WW8Num165z3">
    <w:name w:val="WW8Num165z3"/>
    <w:qFormat/>
    <w:rPr>
      <w:rFonts w:ascii="Symbol" w:hAnsi="Symbol" w:cs="Symbol"/>
    </w:rPr>
  </w:style>
  <w:style w:type="character" w:styleId="WW8Num167z0">
    <w:name w:val="WW8Num167z0"/>
    <w:qFormat/>
    <w:rPr>
      <w:rFonts w:ascii="Symbol" w:hAnsi="Symbol" w:cs="Symbol"/>
      <w:sz w:val="20"/>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7z6">
    <w:name w:val="WW8Num167z6"/>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1z0">
    <w:name w:val="WW8Num171z0"/>
    <w:qFormat/>
    <w:rPr>
      <w:rFonts w:ascii="Wingdings" w:hAnsi="Wingdings" w:cs="Wingdings"/>
    </w:rPr>
  </w:style>
  <w:style w:type="character" w:styleId="WW8Num172z0">
    <w:name w:val="WW8Num172z0"/>
    <w:qFormat/>
    <w:rPr>
      <w:rFonts w:ascii="Symbol" w:hAnsi="Symbol" w:cs="Symbol"/>
    </w:rPr>
  </w:style>
  <w:style w:type="character" w:styleId="WW8Num173z0">
    <w:name w:val="WW8Num173z0"/>
    <w:qFormat/>
    <w:rPr>
      <w:rFonts w:ascii="Symbol" w:hAnsi="Symbol" w:cs="Symbol"/>
      <w:sz w:val="20"/>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3z3">
    <w:name w:val="WW8Num173z3"/>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b w:val="false"/>
    </w:rPr>
  </w:style>
  <w:style w:type="character" w:styleId="WW8Num176z0">
    <w:name w:val="WW8Num176z0"/>
    <w:qFormat/>
    <w:rPr>
      <w:rFonts w:ascii="Courier New" w:hAnsi="Courier New" w:cs="Courier New"/>
    </w:rPr>
  </w:style>
  <w:style w:type="character" w:styleId="WW8Num176z2">
    <w:name w:val="WW8Num176z2"/>
    <w:qFormat/>
    <w:rPr>
      <w:rFonts w:ascii="Wingdings" w:hAnsi="Wingdings" w:cs="Wingdings"/>
    </w:rPr>
  </w:style>
  <w:style w:type="character" w:styleId="WW8Num176z3">
    <w:name w:val="WW8Num176z3"/>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Wingdings" w:hAnsi="Wingdings" w:cs="Wingdings"/>
    </w:rPr>
  </w:style>
  <w:style w:type="character" w:styleId="WW8Num179z0">
    <w:name w:val="WW8Num179z0"/>
    <w:qFormat/>
    <w:rPr>
      <w:rFonts w:ascii="Wingdings" w:hAnsi="Wingdings" w:cs="Wingdings"/>
    </w:rPr>
  </w:style>
  <w:style w:type="character" w:styleId="WW8Num180z0">
    <w:name w:val="WW8Num180z0"/>
    <w:qFormat/>
    <w:rPr>
      <w:rFonts w:ascii="Symbol" w:hAnsi="Symbol" w:cs="Symbol"/>
    </w:rPr>
  </w:style>
  <w:style w:type="character" w:styleId="WW8Num181z0">
    <w:name w:val="WW8Num181z0"/>
    <w:qFormat/>
    <w:rPr>
      <w:rFonts w:ascii="Wingdings" w:hAnsi="Wingdings" w:cs="Wingdings"/>
    </w:rPr>
  </w:style>
  <w:style w:type="character" w:styleId="WW8Num182z0">
    <w:name w:val="WW8Num182z0"/>
    <w:qFormat/>
    <w:rPr>
      <w:rFonts w:ascii="Wingdings" w:hAnsi="Wingdings" w:cs="Wingdings"/>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6z0">
    <w:name w:val="WW8Num186z0"/>
    <w:qFormat/>
    <w:rPr>
      <w:rFonts w:ascii="Symbol" w:hAnsi="Symbol" w:cs="Symbol"/>
      <w:sz w:val="20"/>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6z3">
    <w:name w:val="WW8Num186z3"/>
    <w:qFormat/>
    <w:rPr>
      <w:rFonts w:ascii="Symbol" w:hAnsi="Symbol" w:cs="Symbol"/>
    </w:rPr>
  </w:style>
  <w:style w:type="character" w:styleId="WW8Num187z0">
    <w:name w:val="WW8Num187z0"/>
    <w:qFormat/>
    <w:rPr>
      <w:rFonts w:ascii="Wingdings" w:hAnsi="Wingdings" w:cs="Wingdings"/>
    </w:rPr>
  </w:style>
  <w:style w:type="character" w:styleId="WW8Num188z0">
    <w:name w:val="WW8Num188z0"/>
    <w:qFormat/>
    <w:rPr>
      <w:rFonts w:ascii="Wingdings" w:hAnsi="Wingdings" w:cs="Wingdings"/>
    </w:rPr>
  </w:style>
  <w:style w:type="character" w:styleId="WW8Num189z0">
    <w:name w:val="WW8Num189z0"/>
    <w:qFormat/>
    <w:rPr>
      <w:rFonts w:ascii="Symbol" w:hAnsi="Symbol" w:cs="Symbol"/>
    </w:rPr>
  </w:style>
  <w:style w:type="character" w:styleId="WW8Num190z0">
    <w:name w:val="WW8Num190z0"/>
    <w:qFormat/>
    <w:rPr>
      <w:rFonts w:ascii="Courier New" w:hAnsi="Courier New" w:cs="Courier New"/>
    </w:rPr>
  </w:style>
  <w:style w:type="character" w:styleId="WW8Num190z2">
    <w:name w:val="WW8Num190z2"/>
    <w:qFormat/>
    <w:rPr>
      <w:rFonts w:ascii="Wingdings" w:hAnsi="Wingdings" w:cs="Wingdings"/>
    </w:rPr>
  </w:style>
  <w:style w:type="character" w:styleId="WW8Num190z3">
    <w:name w:val="WW8Num190z3"/>
    <w:qFormat/>
    <w:rPr>
      <w:rFonts w:ascii="Symbol" w:hAnsi="Symbol" w:cs="Symbol"/>
    </w:rPr>
  </w:style>
  <w:style w:type="character" w:styleId="WW8Num191z0">
    <w:name w:val="WW8Num191z0"/>
    <w:qFormat/>
    <w:rPr>
      <w:rFonts w:ascii="Courier New" w:hAnsi="Courier New" w:cs="Courier New"/>
    </w:rPr>
  </w:style>
  <w:style w:type="character" w:styleId="WW8Num191z2">
    <w:name w:val="WW8Num191z2"/>
    <w:qFormat/>
    <w:rPr>
      <w:rFonts w:ascii="Wingdings" w:hAnsi="Wingdings" w:cs="Wingdings"/>
    </w:rPr>
  </w:style>
  <w:style w:type="character" w:styleId="WW8Num191z3">
    <w:name w:val="WW8Num191z3"/>
    <w:qFormat/>
    <w:rPr>
      <w:rFonts w:ascii="Symbol" w:hAnsi="Symbol" w:cs="Symbol"/>
    </w:rPr>
  </w:style>
  <w:style w:type="character" w:styleId="WW8Num192z0">
    <w:name w:val="WW8Num192z0"/>
    <w:qFormat/>
    <w:rPr>
      <w:rFonts w:ascii="Symbol" w:hAnsi="Symbol" w:cs="Symbol"/>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color w:val="FF00FF"/>
      <w:sz w:val="16"/>
    </w:rPr>
  </w:style>
  <w:style w:type="character" w:styleId="Strong">
    <w:name w:val="Strong"/>
    <w:basedOn w:val="DefaultParagraphFont"/>
    <w:qFormat/>
    <w:rPr>
      <w:b/>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widowControl w:val="false"/>
      <w:spacing w:before="240" w:after="60"/>
      <w:jc w:val="center"/>
    </w:pPr>
    <w:rPr>
      <w:rFonts w:ascii="Arial" w:hAnsi="Arial" w:cs="Arial"/>
      <w:b/>
      <w:color w:val="000080"/>
      <w:kern w:val="2"/>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20" w:after="120"/>
    </w:pPr>
    <w:rPr>
      <w:rFonts w:ascii="Arial" w:hAnsi="Arial" w:cs="Arial"/>
      <w:sz w:val="18"/>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TOC1">
    <w:name w:val="toc 1"/>
    <w:basedOn w:val="Normal"/>
    <w:next w:val="Normal"/>
    <w:pPr/>
    <w:rPr>
      <w:rFonts w:ascii="Arial" w:hAnsi="Arial" w:cs="Arial"/>
      <w:b/>
      <w:bCs/>
      <w:sz w:val="18"/>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
    <w:name w:val="Body"/>
    <w:basedOn w:val="Normal"/>
    <w:qFormat/>
    <w:pPr>
      <w:ind w:hanging="0" w:start="72" w:end="0"/>
    </w:pPr>
    <w:rPr>
      <w:rFonts w:ascii="Arial" w:hAnsi="Arial" w:cs="Arial"/>
      <w:color w:val="00008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z w:val="24"/>
    </w:rPr>
  </w:style>
  <w:style w:type="paragraph" w:styleId="BodyTextIndent">
    <w:name w:val="Body Text Indent"/>
    <w:basedOn w:val="Normal"/>
    <w:pPr>
      <w:ind w:hanging="0" w:start="720" w:end="0"/>
    </w:pPr>
    <w:rPr/>
  </w:style>
  <w:style w:type="paragraph" w:styleId="BodyTextIndent2">
    <w:name w:val="Body Text Indent 2"/>
    <w:basedOn w:val="Normal"/>
    <w:qFormat/>
    <w:pPr>
      <w:ind w:firstLine="270" w:start="0" w:end="0"/>
    </w:pPr>
    <w:rPr/>
  </w:style>
  <w:style w:type="paragraph" w:styleId="BodyTextIndent3">
    <w:name w:val="Body Text Indent 3"/>
    <w:basedOn w:val="Normal"/>
    <w:qFormat/>
    <w:pPr>
      <w:ind w:hanging="360" w:start="720" w:end="0"/>
    </w:pPr>
    <w:rPr/>
  </w:style>
  <w:style w:type="paragraph" w:styleId="BodyText3">
    <w:name w:val="Body Text 3"/>
    <w:basedOn w:val="Normal"/>
    <w:qFormat/>
    <w:pPr/>
    <w:rPr>
      <w:b/>
      <w:bCs/>
      <w:sz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png"/><Relationship Id="rId3" Type="http://schemas.openxmlformats.org/officeDocument/2006/relationships/oleObject" Target="embeddings/oleObject4.bin"/><Relationship Id="rId4"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Elaboration Document.dot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2002-01-07T13:19:00Z</dcterms:created>
  <dc:creator>David Dronet</dc:creator>
  <dc:description/>
  <dc:language>en-CA</dc:language>
  <cp:lastModifiedBy>cgaskill</cp:lastModifiedBy>
  <cp:lastPrinted>2002-01-07T10:15:00Z</cp:lastPrinted>
  <dcterms:modified xsi:type="dcterms:W3CDTF">2002-01-07T15:28:00Z</dcterms:modified>
  <cp:revision>9</cp:revision>
  <dc:subject/>
  <dc:title>Gas Fundamentals System Migration</dc:title>
</cp:coreProperties>
</file>