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
        <w:rPr/>
      </w:pPr>
      <w:r>
        <w:rPr/>
        <w:t xml:space="preserve">Susan Scott </w:t>
      </w:r>
    </w:p>
    <w:p>
      <w:pPr>
        <w:pStyle w:val="Normal"/>
        <w:tabs>
          <w:tab w:val="clear" w:pos="720"/>
          <w:tab w:val="left" w:pos="7020" w:leader="none"/>
        </w:tabs>
        <w:rPr/>
      </w:pPr>
      <w:r>
        <w:rPr/>
        <w:tab/>
      </w:r>
    </w:p>
    <w:p>
      <w:pPr>
        <w:pStyle w:val="Subtitle"/>
        <w:rPr>
          <w:rFonts w:ascii="Times New Roman" w:hAnsi="Times New Roman" w:eastAsia="Times New Roman" w:cs="Times New Roman"/>
        </w:rPr>
      </w:pPr>
      <w:r>
        <w:rPr>
          <w:rFonts w:eastAsia="Times New Roman" w:cs="Times New Roman" w:ascii="Times New Roman" w:hAnsi="Times New Roman"/>
        </w:rPr>
        <w:t>Professional experience</w:t>
      </w:r>
    </w:p>
    <w:p>
      <w:pPr>
        <w:pStyle w:val="Normal"/>
        <w:rPr>
          <w:rFonts w:ascii="Times New Roman" w:hAnsi="Times New Roman" w:eastAsia="Times New Roman" w:cs="Times New Roman"/>
          <w:sz w:val="24"/>
          <w:szCs w:val="24"/>
        </w:rPr>
      </w:pPr>
      <w:r>
        <w:rPr>
          <w:rFonts w:eastAsia="Times New Roman" w:cs="Times New Roman"/>
          <w:sz w:val="24"/>
          <w:szCs w:val="24"/>
        </w:rPr>
      </w:r>
    </w:p>
    <w:p>
      <w:pPr>
        <w:pStyle w:val="Normal"/>
        <w:rPr/>
      </w:pPr>
      <w:r>
        <w:rPr>
          <w:b/>
          <w:bCs/>
          <w:i/>
          <w:iCs/>
          <w:sz w:val="22"/>
          <w:szCs w:val="22"/>
        </w:rPr>
        <w:t>Enron Transportation Services Company</w:t>
      </w:r>
      <w:r>
        <w:rPr>
          <w:sz w:val="22"/>
          <w:szCs w:val="22"/>
        </w:rPr>
        <w:t xml:space="preserve">, Houston, Texas </w:t>
      </w:r>
    </w:p>
    <w:p>
      <w:pPr>
        <w:pStyle w:val="Normal"/>
        <w:rPr>
          <w:sz w:val="22"/>
          <w:szCs w:val="22"/>
        </w:rPr>
      </w:pPr>
      <w:r>
        <w:rPr>
          <w:sz w:val="22"/>
          <w:szCs w:val="22"/>
        </w:rPr>
        <w:t>Senior Counsel, May 1998 – present</w:t>
      </w:r>
    </w:p>
    <w:p>
      <w:pPr>
        <w:pStyle w:val="Normal"/>
        <w:rPr>
          <w:sz w:val="22"/>
          <w:szCs w:val="22"/>
        </w:rPr>
      </w:pPr>
      <w:r>
        <w:rPr>
          <w:sz w:val="22"/>
          <w:szCs w:val="22"/>
        </w:rPr>
      </w:r>
    </w:p>
    <w:p>
      <w:pPr>
        <w:pStyle w:val="Normal"/>
        <w:rPr>
          <w:sz w:val="22"/>
          <w:szCs w:val="22"/>
        </w:rPr>
      </w:pPr>
      <w:r>
        <w:rPr>
          <w:sz w:val="22"/>
          <w:szCs w:val="22"/>
        </w:rPr>
        <w:t>Primary areas of responsibility include advising the Transwestern Pipeline Commercial Group on Federal Energy Regulatory Commission compliance matters, obtaining certificates for new facilities, developing new services and obtaining regulatory approval, representing Transwestern in California gas industry restructuring proceedings, and negotiating and drafting transportation service and interconnect agreements.</w:t>
      </w:r>
    </w:p>
    <w:p>
      <w:pPr>
        <w:pStyle w:val="Normal"/>
        <w:rPr>
          <w:b/>
          <w:bCs/>
          <w:i/>
          <w:i/>
          <w:iCs/>
          <w:sz w:val="22"/>
          <w:szCs w:val="22"/>
        </w:rPr>
      </w:pPr>
      <w:r>
        <w:rPr>
          <w:b/>
          <w:bCs/>
          <w:i/>
          <w:iCs/>
          <w:sz w:val="22"/>
          <w:szCs w:val="22"/>
        </w:rPr>
      </w:r>
    </w:p>
    <w:p>
      <w:pPr>
        <w:pStyle w:val="Normal"/>
        <w:rPr/>
      </w:pPr>
      <w:r>
        <w:rPr>
          <w:b/>
          <w:bCs/>
          <w:i/>
          <w:iCs/>
          <w:sz w:val="22"/>
          <w:szCs w:val="22"/>
        </w:rPr>
        <w:t>Akin, Gump, Strauss, Hauer &amp; Feld, LLP</w:t>
      </w:r>
      <w:r>
        <w:rPr>
          <w:sz w:val="22"/>
          <w:szCs w:val="22"/>
        </w:rPr>
        <w:t>, Austin and Houston offices</w:t>
        <w:tab/>
      </w:r>
    </w:p>
    <w:p>
      <w:pPr>
        <w:pStyle w:val="Normal"/>
        <w:rPr>
          <w:sz w:val="22"/>
          <w:szCs w:val="22"/>
        </w:rPr>
      </w:pPr>
      <w:r>
        <w:rPr>
          <w:sz w:val="22"/>
          <w:szCs w:val="22"/>
        </w:rPr>
        <w:t>Associate, September 1992 – May 1998</w:t>
      </w:r>
    </w:p>
    <w:p>
      <w:pPr>
        <w:pStyle w:val="Normal"/>
        <w:rPr>
          <w:sz w:val="22"/>
          <w:szCs w:val="22"/>
        </w:rPr>
      </w:pPr>
      <w:r>
        <w:rPr>
          <w:sz w:val="22"/>
          <w:szCs w:val="22"/>
        </w:rPr>
      </w:r>
    </w:p>
    <w:p>
      <w:pPr>
        <w:pStyle w:val="Normal"/>
        <w:rPr>
          <w:sz w:val="22"/>
          <w:szCs w:val="22"/>
        </w:rPr>
      </w:pPr>
      <w:r>
        <w:rPr>
          <w:sz w:val="22"/>
          <w:szCs w:val="22"/>
        </w:rPr>
        <w:t>Primary areas of practice:</w:t>
      </w:r>
    </w:p>
    <w:p>
      <w:pPr>
        <w:pStyle w:val="Normal"/>
        <w:rPr>
          <w:sz w:val="22"/>
          <w:szCs w:val="22"/>
        </w:rPr>
      </w:pPr>
      <w:r>
        <w:rPr>
          <w:sz w:val="22"/>
          <w:szCs w:val="22"/>
        </w:rPr>
      </w:r>
    </w:p>
    <w:p>
      <w:pPr>
        <w:pStyle w:val="WW-BodyText2"/>
        <w:rPr/>
      </w:pPr>
      <w:r>
        <w:rPr/>
        <w:t xml:space="preserve">•  </w:t>
      </w:r>
      <w:r>
        <w:rPr/>
        <w:t>Represented clients before the Federal Energy Regulatory Commission, Texas Public Utility Commission and Texas Railroad Commission in contested cases and certification, permitting and rulemaking proceedings</w:t>
      </w:r>
    </w:p>
    <w:p>
      <w:pPr>
        <w:pStyle w:val="Normal"/>
        <w:rPr>
          <w:sz w:val="22"/>
          <w:szCs w:val="22"/>
        </w:rPr>
      </w:pPr>
      <w:r>
        <w:rPr>
          <w:sz w:val="22"/>
          <w:szCs w:val="22"/>
        </w:rPr>
        <w:t xml:space="preserve">•  </w:t>
      </w:r>
      <w:r>
        <w:rPr>
          <w:sz w:val="22"/>
          <w:szCs w:val="22"/>
        </w:rPr>
        <w:t>Advised clients on environmental issues, such as permitting and site remediation</w:t>
      </w:r>
    </w:p>
    <w:p>
      <w:pPr>
        <w:pStyle w:val="Normal"/>
        <w:rPr>
          <w:sz w:val="22"/>
          <w:szCs w:val="22"/>
        </w:rPr>
      </w:pPr>
      <w:r>
        <w:rPr>
          <w:sz w:val="22"/>
          <w:szCs w:val="22"/>
        </w:rPr>
        <w:t xml:space="preserve">•  </w:t>
      </w:r>
      <w:r>
        <w:rPr>
          <w:sz w:val="22"/>
          <w:szCs w:val="22"/>
        </w:rPr>
        <w:t>Energy-related asset purchase and sale transactions</w:t>
      </w:r>
    </w:p>
    <w:p>
      <w:pPr>
        <w:pStyle w:val="Normal"/>
        <w:rPr>
          <w:sz w:val="22"/>
          <w:szCs w:val="22"/>
        </w:rPr>
      </w:pPr>
      <w:r>
        <w:rPr>
          <w:sz w:val="22"/>
          <w:szCs w:val="22"/>
        </w:rPr>
        <w:t xml:space="preserve">•  </w:t>
      </w:r>
      <w:r>
        <w:rPr>
          <w:sz w:val="22"/>
          <w:szCs w:val="22"/>
        </w:rPr>
        <w:t xml:space="preserve">Natural gas and electricity purchase and sale contracts </w:t>
      </w:r>
    </w:p>
    <w:p>
      <w:pPr>
        <w:pStyle w:val="Normal"/>
        <w:rPr>
          <w:sz w:val="22"/>
          <w:szCs w:val="22"/>
        </w:rPr>
      </w:pPr>
      <w:r>
        <w:rPr>
          <w:sz w:val="22"/>
          <w:szCs w:val="22"/>
        </w:rPr>
        <w:t xml:space="preserve">•  </w:t>
      </w:r>
      <w:r>
        <w:rPr>
          <w:sz w:val="22"/>
          <w:szCs w:val="22"/>
        </w:rPr>
        <w:t xml:space="preserve">Joint operating agreements and joint exploration agreements </w:t>
      </w:r>
    </w:p>
    <w:p>
      <w:pPr>
        <w:pStyle w:val="Normal"/>
        <w:rPr>
          <w:sz w:val="22"/>
          <w:szCs w:val="22"/>
        </w:rPr>
      </w:pPr>
      <w:r>
        <w:rPr>
          <w:sz w:val="22"/>
          <w:szCs w:val="22"/>
        </w:rPr>
        <w:t xml:space="preserve">•  </w:t>
      </w:r>
      <w:r>
        <w:rPr>
          <w:sz w:val="22"/>
          <w:szCs w:val="22"/>
        </w:rPr>
        <w:t>Energy-related civil litigation</w:t>
      </w:r>
    </w:p>
    <w:p>
      <w:pPr>
        <w:pStyle w:val="Normal"/>
        <w:rPr>
          <w:sz w:val="24"/>
          <w:szCs w:val="24"/>
        </w:rPr>
      </w:pPr>
      <w:r>
        <w:rPr>
          <w:sz w:val="24"/>
          <w:szCs w:val="24"/>
        </w:rPr>
      </w:r>
    </w:p>
    <w:p>
      <w:pPr>
        <w:pStyle w:val="Heading2"/>
        <w:ind w:hanging="0" w:start="0"/>
        <w:rPr/>
      </w:pPr>
      <w:r>
        <w:rPr/>
        <w:t>Other experience</w:t>
      </w:r>
    </w:p>
    <w:p>
      <w:pPr>
        <w:pStyle w:val="Normal"/>
        <w:rPr>
          <w:b/>
          <w:bCs/>
          <w:sz w:val="24"/>
          <w:szCs w:val="24"/>
          <w:u w:val="single"/>
        </w:rPr>
      </w:pPr>
      <w:r>
        <w:rPr>
          <w:b/>
          <w:bCs/>
          <w:sz w:val="24"/>
          <w:szCs w:val="24"/>
          <w:u w:val="single"/>
        </w:rPr>
      </w:r>
    </w:p>
    <w:p>
      <w:pPr>
        <w:pStyle w:val="Normal"/>
        <w:rPr/>
      </w:pPr>
      <w:r>
        <w:rPr>
          <w:b/>
          <w:bCs/>
          <w:i/>
          <w:iCs/>
          <w:sz w:val="22"/>
          <w:szCs w:val="22"/>
        </w:rPr>
        <w:t>McElroy, Deutsch &amp; Mulvaney</w:t>
      </w:r>
      <w:r>
        <w:rPr>
          <w:sz w:val="22"/>
          <w:szCs w:val="22"/>
        </w:rPr>
        <w:t>, Morristown, New Jersey</w:t>
      </w:r>
    </w:p>
    <w:p>
      <w:pPr>
        <w:pStyle w:val="Normal"/>
        <w:rPr>
          <w:sz w:val="22"/>
          <w:szCs w:val="22"/>
        </w:rPr>
      </w:pPr>
      <w:r>
        <w:rPr>
          <w:sz w:val="22"/>
          <w:szCs w:val="22"/>
        </w:rPr>
        <w:t>Legal Assistant   October 1988 - August 1989</w:t>
      </w:r>
    </w:p>
    <w:p>
      <w:pPr>
        <w:pStyle w:val="Normal"/>
        <w:rPr>
          <w:sz w:val="22"/>
          <w:szCs w:val="22"/>
        </w:rPr>
      </w:pPr>
      <w:r>
        <w:rPr>
          <w:sz w:val="22"/>
          <w:szCs w:val="22"/>
        </w:rPr>
      </w:r>
    </w:p>
    <w:p>
      <w:pPr>
        <w:pStyle w:val="Normal"/>
        <w:rPr/>
      </w:pPr>
      <w:r>
        <w:rPr>
          <w:b/>
          <w:bCs/>
          <w:i/>
          <w:iCs/>
          <w:sz w:val="22"/>
          <w:szCs w:val="22"/>
        </w:rPr>
        <w:t>Clark, Thomas, Winters &amp; Newton</w:t>
      </w:r>
      <w:r>
        <w:rPr>
          <w:sz w:val="22"/>
          <w:szCs w:val="22"/>
        </w:rPr>
        <w:t>, Austin, Texas</w:t>
      </w:r>
    </w:p>
    <w:p>
      <w:pPr>
        <w:pStyle w:val="Normal"/>
        <w:rPr>
          <w:sz w:val="22"/>
          <w:szCs w:val="22"/>
        </w:rPr>
      </w:pPr>
      <w:r>
        <w:rPr>
          <w:sz w:val="22"/>
          <w:szCs w:val="22"/>
        </w:rPr>
        <w:t>Billing Clerk   March 1988 - October 1988</w:t>
      </w:r>
    </w:p>
    <w:p>
      <w:pPr>
        <w:pStyle w:val="Normal"/>
        <w:rPr>
          <w:b/>
          <w:bCs/>
          <w:sz w:val="24"/>
          <w:szCs w:val="24"/>
          <w:u w:val="single"/>
        </w:rPr>
      </w:pPr>
      <w:r>
        <w:rPr>
          <w:b/>
          <w:bCs/>
          <w:sz w:val="24"/>
          <w:szCs w:val="24"/>
          <w:u w:val="single"/>
        </w:rPr>
      </w:r>
    </w:p>
    <w:p>
      <w:pPr>
        <w:pStyle w:val="Heading2"/>
        <w:ind w:hanging="0" w:start="0"/>
        <w:rPr/>
      </w:pPr>
      <w:r>
        <w:rPr/>
        <w:t>Education</w:t>
      </w:r>
    </w:p>
    <w:p>
      <w:pPr>
        <w:pStyle w:val="Normal"/>
        <w:rPr>
          <w:sz w:val="24"/>
          <w:szCs w:val="24"/>
        </w:rPr>
      </w:pPr>
      <w:r>
        <w:rPr>
          <w:sz w:val="24"/>
          <w:szCs w:val="24"/>
        </w:rPr>
      </w:r>
    </w:p>
    <w:p>
      <w:pPr>
        <w:pStyle w:val="Normal"/>
        <w:rPr/>
      </w:pPr>
      <w:r>
        <w:rPr>
          <w:b/>
          <w:bCs/>
          <w:i/>
          <w:iCs/>
          <w:sz w:val="22"/>
          <w:szCs w:val="22"/>
        </w:rPr>
        <w:t>University of Texas School of Law</w:t>
      </w:r>
      <w:r>
        <w:rPr>
          <w:sz w:val="22"/>
          <w:szCs w:val="22"/>
        </w:rPr>
        <w:t xml:space="preserve">  J.D., 1992 </w:t>
      </w:r>
    </w:p>
    <w:p>
      <w:pPr>
        <w:pStyle w:val="Normal"/>
        <w:rPr>
          <w:b/>
          <w:bCs/>
          <w:i/>
          <w:i/>
          <w:iCs/>
          <w:sz w:val="22"/>
          <w:szCs w:val="22"/>
        </w:rPr>
      </w:pPr>
      <w:r>
        <w:rPr>
          <w:b/>
          <w:bCs/>
          <w:i/>
          <w:iCs/>
          <w:sz w:val="22"/>
          <w:szCs w:val="22"/>
        </w:rPr>
      </w:r>
    </w:p>
    <w:p>
      <w:pPr>
        <w:pStyle w:val="Normal"/>
        <w:rPr/>
      </w:pPr>
      <w:r>
        <w:rPr>
          <w:b/>
          <w:bCs/>
          <w:i/>
          <w:iCs/>
          <w:sz w:val="22"/>
          <w:szCs w:val="22"/>
        </w:rPr>
        <w:t xml:space="preserve">University of Texas  </w:t>
      </w:r>
      <w:r>
        <w:rPr>
          <w:sz w:val="22"/>
          <w:szCs w:val="22"/>
        </w:rPr>
        <w:t xml:space="preserve">B.A. with high honors, 1987  </w:t>
      </w:r>
    </w:p>
    <w:p>
      <w:pPr>
        <w:pStyle w:val="Normal"/>
        <w:rPr>
          <w:sz w:val="22"/>
          <w:szCs w:val="22"/>
        </w:rPr>
      </w:pPr>
      <w:r>
        <w:rPr>
          <w:sz w:val="22"/>
          <w:szCs w:val="22"/>
        </w:rPr>
        <w:t>Plan II Honors Program and Honors English</w:t>
      </w:r>
    </w:p>
    <w:p>
      <w:pPr>
        <w:pStyle w:val="Normal"/>
        <w:rPr>
          <w:sz w:val="24"/>
          <w:szCs w:val="24"/>
        </w:rPr>
      </w:pPr>
      <w:r>
        <w:rPr>
          <w:sz w:val="24"/>
          <w:szCs w:val="24"/>
        </w:rPr>
      </w:r>
    </w:p>
    <w:p>
      <w:pPr>
        <w:pStyle w:val="Normal"/>
        <w:rPr/>
      </w:pPr>
      <w:r>
        <w:rPr>
          <w:b/>
          <w:bCs/>
          <w:sz w:val="24"/>
          <w:szCs w:val="24"/>
          <w:u w:val="single"/>
        </w:rPr>
        <w:t>Other activities</w:t>
      </w:r>
      <w:r>
        <w:rPr>
          <w:sz w:val="24"/>
          <w:szCs w:val="24"/>
        </w:rPr>
        <w:t xml:space="preserve"> </w:t>
      </w:r>
    </w:p>
    <w:p>
      <w:pPr>
        <w:pStyle w:val="Normal"/>
        <w:rPr>
          <w:sz w:val="24"/>
          <w:szCs w:val="24"/>
        </w:rPr>
      </w:pPr>
      <w:r>
        <w:rPr>
          <w:sz w:val="24"/>
          <w:szCs w:val="24"/>
        </w:rPr>
      </w:r>
    </w:p>
    <w:p>
      <w:pPr>
        <w:pStyle w:val="Normal"/>
        <w:rPr>
          <w:sz w:val="22"/>
          <w:szCs w:val="22"/>
        </w:rPr>
      </w:pPr>
      <w:r>
        <w:rPr>
          <w:sz w:val="22"/>
          <w:szCs w:val="22"/>
        </w:rPr>
        <w:t>DiverseWorks Board of Directors (August 2000 – present)</w:t>
      </w:r>
    </w:p>
    <w:p>
      <w:pPr>
        <w:pStyle w:val="Normal"/>
        <w:rPr>
          <w:sz w:val="22"/>
          <w:szCs w:val="22"/>
        </w:rPr>
      </w:pPr>
      <w:r>
        <w:rPr>
          <w:sz w:val="22"/>
          <w:szCs w:val="22"/>
        </w:rPr>
        <w:t>Energy Bar Association Secretary (October 2000 – present)</w:t>
      </w:r>
    </w:p>
    <w:p>
      <w:pPr>
        <w:pStyle w:val="Normal"/>
        <w:rPr>
          <w:sz w:val="22"/>
          <w:szCs w:val="22"/>
        </w:rPr>
      </w:pPr>
      <w:r>
        <w:rPr>
          <w:sz w:val="22"/>
          <w:szCs w:val="22"/>
        </w:rPr>
        <w:t xml:space="preserve">The Met Business &amp; Sports Club Membership Committee (1998 – 2000) </w:t>
      </w:r>
    </w:p>
    <w:p>
      <w:pPr>
        <w:pStyle w:val="Normal"/>
        <w:rPr>
          <w:sz w:val="22"/>
          <w:szCs w:val="22"/>
        </w:rPr>
      </w:pPr>
      <w:r>
        <w:rPr>
          <w:sz w:val="22"/>
          <w:szCs w:val="22"/>
        </w:rPr>
        <w:t>Volunteer Legal Services of Travis County – handled pro bono divorces (1992 – 1996)</w:t>
      </w:r>
    </w:p>
    <w:p>
      <w:pPr>
        <w:pStyle w:val="Normal"/>
        <w:jc w:val="center"/>
        <w:rPr>
          <w:rFonts w:ascii="Garamond" w:hAnsi="Garamond" w:eastAsia="Garamond" w:cs="Garamond"/>
          <w:sz w:val="22"/>
          <w:szCs w:val="22"/>
        </w:rPr>
      </w:pPr>
      <w:r>
        <w:rPr>
          <w:rFonts w:eastAsia="Garamond" w:cs="Garamond" w:ascii="Garamond" w:hAnsi="Garamond"/>
          <w:sz w:val="22"/>
          <w:szCs w:val="22"/>
        </w:rPr>
      </w:r>
    </w:p>
    <w:p>
      <w:pPr>
        <w:pStyle w:val="Heading3"/>
        <w:ind w:hanging="0" w:start="0"/>
        <w:rPr>
          <w:rFonts w:ascii="Garamond" w:hAnsi="Garamond" w:eastAsia="Garamond" w:cs="Garamond"/>
        </w:rPr>
      </w:pPr>
      <w:r>
        <w:rPr>
          <w:rFonts w:eastAsia="Garamond" w:cs="Garamond" w:ascii="Garamond" w:hAnsi="Garamond"/>
        </w:rPr>
        <w:t>815 Cortlandt St.</w:t>
        <w:tab/>
        <w:tab/>
        <w:t>Houston, Texas 77007</w:t>
        <w:tab/>
        <w:tab/>
        <w:t>(713) 853-0596</w:t>
      </w:r>
    </w:p>
    <w:sectPr>
      <w:type w:val="nextPage"/>
      <w:pgSz w:w="12240" w:h="15840"/>
      <w:pgMar w:left="1440" w:right="1440" w:gutter="0" w:header="0" w:top="990" w:footer="0" w:bottom="1080"/>
      <w:pgNumType w:fmt="decimal"/>
      <w:formProt w:val="false"/>
      <w:textDirection w:val="lrTb"/>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Times New Roman">
    <w:charset w:val="01"/>
    <w:family w:val="roman"/>
    <w:pitch w:val="variable"/>
  </w:font>
  <w:font w:name="Garamond">
    <w:charset w:val="01"/>
    <w:family w:val="roman"/>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00"/>
  <w:defaultTabStop w:val="720"/>
  <w:autoHyphenation w:val="true"/>
  <w:hyphenationZone w:val="0"/>
  <w:compat>
    <w:doNotExpandShiftReturn/>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eastAsia="zh-CN" w:bidi="hi-IN"/>
    </w:rPr>
  </w:style>
  <w:style w:type="paragraph" w:styleId="Heading1">
    <w:name w:val="heading 1"/>
    <w:basedOn w:val="Normal"/>
    <w:next w:val="Normal"/>
    <w:qFormat/>
    <w:pPr>
      <w:keepNext w:val="true"/>
      <w:numPr>
        <w:ilvl w:val="0"/>
        <w:numId w:val="1"/>
      </w:numPr>
      <w:jc w:val="both"/>
      <w:outlineLvl w:val="0"/>
    </w:pPr>
    <w:rPr>
      <w:b/>
      <w:bCs/>
      <w:sz w:val="32"/>
      <w:szCs w:val="32"/>
    </w:rPr>
  </w:style>
  <w:style w:type="paragraph" w:styleId="Heading2">
    <w:name w:val="heading 2"/>
    <w:basedOn w:val="Normal"/>
    <w:next w:val="Normal"/>
    <w:qFormat/>
    <w:pPr>
      <w:keepNext w:val="true"/>
      <w:numPr>
        <w:ilvl w:val="1"/>
        <w:numId w:val="1"/>
      </w:numPr>
      <w:outlineLvl w:val="1"/>
    </w:pPr>
    <w:rPr>
      <w:b/>
      <w:bCs/>
      <w:sz w:val="24"/>
      <w:szCs w:val="24"/>
      <w:u w:val="single"/>
    </w:rPr>
  </w:style>
  <w:style w:type="paragraph" w:styleId="Heading3">
    <w:name w:val="heading 3"/>
    <w:basedOn w:val="Normal"/>
    <w:next w:val="Normal"/>
    <w:qFormat/>
    <w:pPr>
      <w:keepNext w:val="true"/>
      <w:numPr>
        <w:ilvl w:val="2"/>
        <w:numId w:val="1"/>
      </w:numPr>
      <w:jc w:val="center"/>
      <w:outlineLvl w:val="2"/>
    </w:pPr>
    <w:rPr>
      <w:b/>
      <w:bCs/>
      <w:sz w:val="22"/>
      <w:szCs w:val="22"/>
    </w:rPr>
  </w:style>
  <w:style w:type="character" w:styleId="DefaultParagraphFont">
    <w:name w:val="Default Paragraph Font"/>
    <w:qFormat/>
    <w:rPr/>
  </w:style>
  <w:style w:type="paragraph" w:styleId="Heading">
    <w:name w:val="Heading"/>
    <w:basedOn w:val="Normal"/>
    <w:next w:val="BodyText"/>
    <w:qFormat/>
    <w:pPr>
      <w:tabs>
        <w:tab w:val="clear" w:pos="720"/>
        <w:tab w:val="left" w:pos="6480" w:leader="none"/>
        <w:tab w:val="left" w:pos="6660" w:leader="none"/>
        <w:tab w:val="left" w:pos="7020" w:leader="none"/>
      </w:tabs>
      <w:jc w:val="center"/>
    </w:pPr>
    <w:rPr>
      <w:rFonts w:ascii="Garamond" w:hAnsi="Garamond" w:eastAsia="Garamond" w:cs="Garamond"/>
      <w:b/>
      <w:bCs/>
      <w:sz w:val="40"/>
      <w:szCs w:val="40"/>
    </w:rPr>
  </w:style>
  <w:style w:type="paragraph" w:styleId="BodyText">
    <w:name w:val="Body Text"/>
    <w:basedOn w:val="Normal"/>
    <w:pPr>
      <w:tabs>
        <w:tab w:val="clear" w:pos="720"/>
        <w:tab w:val="left" w:pos="7200" w:leader="none"/>
      </w:tabs>
      <w:jc w:val="both"/>
    </w:pPr>
    <w:rPr>
      <w:sz w:val="24"/>
      <w:szCs w:val="24"/>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BodyText2">
    <w:name w:val="Body Text 2"/>
    <w:basedOn w:val="Normal"/>
    <w:qFormat/>
    <w:pPr>
      <w:ind w:hanging="180" w:start="180" w:end="0"/>
    </w:pPr>
    <w:rPr>
      <w:sz w:val="24"/>
      <w:szCs w:val="24"/>
    </w:rPr>
  </w:style>
  <w:style w:type="paragraph" w:styleId="Subtitle">
    <w:name w:val="Subtitle"/>
    <w:basedOn w:val="Normal"/>
    <w:next w:val="BodyText"/>
    <w:qFormat/>
    <w:pPr/>
    <w:rPr>
      <w:rFonts w:ascii="Garamond" w:hAnsi="Garamond" w:eastAsia="Garamond" w:cs="Garamond"/>
      <w:b/>
      <w:bCs/>
      <w:sz w:val="24"/>
      <w:szCs w:val="24"/>
      <w:u w:val="single"/>
    </w:rPr>
  </w:style>
  <w:style w:type="paragraph" w:styleId="WW-BodyText2">
    <w:name w:val="WW-Body Text 2"/>
    <w:basedOn w:val="Normal"/>
    <w:qFormat/>
    <w:pPr>
      <w:ind w:hanging="180" w:start="180" w:end="0"/>
    </w:pPr>
    <w:rPr>
      <w:sz w:val="22"/>
      <w:szCs w:val="22"/>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1</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2001-03-26T20:33:00Z</dcterms:created>
  <dc:creator>LANGLOIS_J</dc:creator>
  <dc:description/>
  <dc:language>en-CA</dc:language>
  <cp:lastModifiedBy>sscott3</cp:lastModifiedBy>
  <cp:lastPrinted>2000-10-09T13:18:00Z</cp:lastPrinted>
  <dcterms:modified xsi:type="dcterms:W3CDTF">2001-03-26T20:33:00Z</dcterms:modified>
  <cp:revision>2</cp:revision>
  <dc:subject/>
  <dc:title>Susan C</dc:title>
</cp:coreProperties>
</file>