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Registration and coffee &amp; Introduction from the chair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  <w:i/>
        </w:rPr>
        <w:t>Keynote address</w:t>
      </w:r>
      <w:r>
        <w:rPr>
          <w:rFonts w:cs="Arial" w:ascii="Arial" w:hAnsi="Arial"/>
          <w:b/>
        </w:rPr>
        <w:t xml:space="preserve">: </w:t>
      </w:r>
      <w:r>
        <w:rPr>
          <w:rFonts w:cs="Arial" w:ascii="Arial" w:hAnsi="Arial"/>
          <w:b/>
          <w:i/>
        </w:rPr>
        <w:t>Analysing the future balance of power between the regulator and a de-regulated energy industry</w:t>
      </w:r>
    </w:p>
    <w:p>
      <w:pPr>
        <w:pStyle w:val="Normal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Heading1"/>
        <w:ind w:hanging="0" w:start="0"/>
        <w:rPr/>
      </w:pPr>
      <w:r>
        <w:rPr/>
        <w:t>Panel discussion: A retrospective of power markets in 2000 and the implications for 2001 and beyond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        </w:t>
        <w:tab/>
      </w:r>
      <w:r>
        <w:rPr>
          <w:rFonts w:cs="Arial" w:ascii="Arial" w:hAnsi="Arial"/>
          <w:b/>
        </w:rPr>
        <w:t>Frank Wolak, Stanford University &amp; California ISO</w:t>
        <w:tab/>
        <w:t>Vince Kaminski, Enron Corporation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ab/>
        <w:tab/>
        <w:t>Jim Macias, Calpine Corporation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Morning break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4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25"/>
        <w:gridCol w:w="4725"/>
        <w:gridCol w:w="4725"/>
      </w:tblGrid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1: REGULATORY DEVELOPMENTS AND INFRASTRUCTURE CHALLENGES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2: RISK MEASUREMENT, MANAGEMENT AND CONTROL TECHNIQUES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3: ADVANCED PRICING, HEDGING AND TRADING STRATEGIES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Case study example: Examining the impact of the Californian power crisis upon Sempra Energy </w:t>
            </w:r>
          </w:p>
          <w:p>
            <w:pPr>
              <w:pStyle w:val="Heading1"/>
              <w:ind w:hanging="0" w:start="0"/>
              <w:rPr/>
            </w:pPr>
            <w:r>
              <w:rPr/>
              <w:t>Mark Randle, Sempra Energy</w:t>
            </w:r>
          </w:p>
          <w:p>
            <w:pPr>
              <w:pStyle w:val="BodyText"/>
              <w:rPr/>
            </w:pPr>
            <w:r>
              <w:rPr/>
              <w:t>Brett Humphries, Risk Capital Management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Examining the impact of price volatility on forward curve effectiveness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i/>
              </w:rPr>
              <w:t>Craig Pirrong, Olin School of Business, Washington University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Modelling price volatility in US power markets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Vince Kaminski, Enron Corp.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Examining the use of price caps in a deregulated market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Session to be confirmed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Latest research for the accurate pricing of electricity derivatives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Hellyette Geman, ESSEC/Universitie Paris XI Dauphine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An examination of the Northwest RTO and developments for 2001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Aram Sogomonian, Pacificorp Power Marketing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Enterprise-wide risk management and the implications for senior management policies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- 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Pricing and hedging evolving products in retail markets </w:t>
            </w:r>
          </w:p>
          <w:p>
            <w:pPr>
              <w:pStyle w:val="Heading1"/>
              <w:ind w:hanging="0" w:start="0"/>
              <w:rPr/>
            </w:pPr>
            <w:r>
              <w:rPr/>
              <w:t>Merriwether Andersen, Florida Power &amp; Light Co</w:t>
            </w:r>
            <w:r>
              <w:rPr>
                <w:i w:val="false"/>
              </w:rPr>
              <w:t>.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Developing an understanding of the interaction of spot and forward markets 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Frank Wolak, Stanford University &amp; California ISO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Examining the benefits of successful real options theory for management and risk control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Kenneth Leong, Con Edison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Pricing swing options with advanced simulation techniques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Professor Duane Seppi, Carnegie Mellon University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Afternoon break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Afternoon break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Afternoon break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Experimentation vs. standardisation of regional energy policies and requirements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William Berry, ISO New England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Latest techniques for the accurate calculation of firm-wide capital allocation</w:t>
            </w:r>
          </w:p>
          <w:p>
            <w:pPr>
              <w:pStyle w:val="Heading1"/>
              <w:ind w:hanging="0" w:start="0"/>
              <w:rPr/>
            </w:pPr>
            <w:r>
              <w:rPr/>
              <w:t>Peter Nance, Teknecon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Incorporating demand, generation and transmission trends into trading strategies</w:t>
            </w:r>
          </w:p>
          <w:p>
            <w:pPr>
              <w:pStyle w:val="Heading1"/>
              <w:ind w:hanging="0" w:start="0"/>
              <w:rPr/>
            </w:pPr>
            <w:r>
              <w:rPr/>
              <w:t>John Esaiw, Transalta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Market abuse &amp; fair competition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David Yeres, Clifford Chance Rogers &amp; Wells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Latest techniques for modelling price behaviour volatility in the US energy industry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Valuing real options 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/>
              <w:t>Sailesh Ramamurtie, Koch Industries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Closing remarks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Closing remarks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Closing remarks from the chair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Gala cocktail reception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Registration and coffee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/>
      </w:pPr>
      <w:r>
        <w:rPr/>
        <w:t>Keynote address: Capitalizing on the potential of bandwidth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/>
      </w:pPr>
      <w:r>
        <w:rPr/>
        <w:t>Panel session: Examining the impact of current price volatility on credit risk management</w:t>
      </w:r>
    </w:p>
    <w:p>
      <w:pPr>
        <w:pStyle w:val="Normal"/>
        <w:rPr/>
      </w:pPr>
      <w:r>
        <w:rPr/>
        <w:tab/>
        <w:tab/>
      </w:r>
      <w:r>
        <w:rPr>
          <w:rFonts w:cs="Arial" w:ascii="Arial" w:hAnsi="Arial"/>
          <w:b/>
        </w:rPr>
        <w:t>Mark Williams, Edison Mission Marketing and Trading</w:t>
      </w:r>
    </w:p>
    <w:p>
      <w:pPr>
        <w:pStyle w:val="Normal"/>
        <w:rPr>
          <w:b/>
        </w:rPr>
      </w:pPr>
      <w:r>
        <w:rPr>
          <w:rFonts w:cs="Arial" w:ascii="Arial" w:hAnsi="Arial"/>
          <w:b/>
        </w:rPr>
        <w:tab/>
        <w:tab/>
        <w:t>Randy Baker, Duke Energy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Morning break</w:t>
      </w:r>
    </w:p>
    <w:p>
      <w:pPr>
        <w:pStyle w:val="Normal"/>
        <w:rPr/>
      </w:pPr>
      <w:r>
        <w:rPr/>
      </w:r>
    </w:p>
    <w:tbl>
      <w:tblPr>
        <w:tblW w:w="14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25"/>
        <w:gridCol w:w="4725"/>
        <w:gridCol w:w="4725"/>
      </w:tblGrid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Stream 1: REGULATORY DEVELOPMENTS AND INFRASTRUCTURE CHALLENGES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2: IMPLEMENTING EFFECTIVE CREDIT RISK MANAGEMENT TECHNIQUES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Stream 3: ADVANCED PRICING, HEDGING AND TRADING STRATEGIES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Convergence vs. asset splitting: Is big necessarily best?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Incorporating price spikes into credit risk management</w:t>
            </w:r>
          </w:p>
          <w:p>
            <w:pPr>
              <w:pStyle w:val="Heading1"/>
              <w:ind w:hanging="0" w:start="0"/>
              <w:rPr/>
            </w:pPr>
            <w:r>
              <w:rPr/>
              <w:t>Mark Williams, Edison Mission Marketing and Trading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Commoditizing and pricing bandwidth</w:t>
            </w:r>
          </w:p>
          <w:p>
            <w:pPr>
              <w:pStyle w:val="Heading2"/>
              <w:ind w:hanging="0" w:start="0"/>
              <w:rPr>
                <w:i/>
                <w:i/>
              </w:rPr>
            </w:pPr>
            <w:r>
              <w:rPr>
                <w:i/>
              </w:rPr>
              <w:t>Spyros Maragos, Dynegy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/>
              <w:t>A critical examination of the level of control FAS 133 should exert on trading deals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Latest techniques for the accurate calculation of CVAR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Martingale methods for the energy industry</w:t>
            </w:r>
          </w:p>
          <w:p>
            <w:pPr>
              <w:pStyle w:val="Heading1"/>
              <w:ind w:hanging="0" w:start="0"/>
              <w:rPr/>
            </w:pPr>
            <w:r>
              <w:rPr/>
              <w:t>Professor Lane Hughston, Kings College, London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BodyText"/>
              <w:rPr/>
            </w:pPr>
            <w:r>
              <w:rPr/>
              <w:t>Lunch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2"/>
              <w:ind w:hanging="0" w:start="0"/>
              <w:rPr/>
            </w:pPr>
            <w:r>
              <w:rPr/>
              <w:t>Lunch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Examining the impact of the ‘Model Master Power Purchase and Sale Agreement’ on trading, mid- and back-office operations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Andrew S. Katz, Edison Electric Institute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An examination of ‘Credit 101’</w:t>
            </w:r>
          </w:p>
          <w:p>
            <w:pPr>
              <w:pStyle w:val="Heading1"/>
              <w:ind w:hanging="0" w:start="0"/>
              <w:rPr/>
            </w:pPr>
            <w:r>
              <w:rPr/>
              <w:t>Peter Pavluk, Dynegy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Valuing the optionality of volume risk and volumetric risk</w:t>
            </w:r>
          </w:p>
          <w:p>
            <w:pPr>
              <w:pStyle w:val="Heading1"/>
              <w:ind w:hanging="0" w:start="0"/>
              <w:rPr/>
            </w:pPr>
            <w:r>
              <w:rPr/>
              <w:t>Michael Day, Duke Energy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  <w:t>Session to be confirmed</w:t>
            </w:r>
          </w:p>
          <w:p>
            <w:pPr>
              <w:pStyle w:val="BodyText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How electronic trading will enhance credit risk management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Session to be confirmed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BodyText"/>
              <w:rPr/>
            </w:pPr>
            <w:r>
              <w:rPr/>
              <w:t>Afternoon break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Afternoon break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BodyText"/>
              <w:rPr/>
            </w:pPr>
            <w:r>
              <w:rPr/>
              <w:t>Afternoon break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The role of structured finance in deregulated markets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Utilising alternatives to collateral for effective credit risk management</w:t>
            </w:r>
          </w:p>
          <w:p>
            <w:pPr>
              <w:pStyle w:val="Heading1"/>
              <w:ind w:hanging="0" w:start="0"/>
              <w:rPr/>
            </w:pPr>
            <w:r>
              <w:rPr/>
              <w:t>Randy Baker, Duke Energy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/>
              <w:t>AFTERNOON INDUSTRY BRIEFING: KEY CONSIDERATIONS TO SUPPORT ELECTRONIC TRADING</w:t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</w:r>
          </w:p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Aims and objectives of the ETS Group</w:t>
            </w:r>
          </w:p>
          <w:p>
            <w:pPr>
              <w:pStyle w:val="Heading1"/>
              <w:ind w:hanging="0" w:start="0"/>
              <w:rPr/>
            </w:pPr>
            <w:r>
              <w:rPr/>
              <w:t>Coleman Fung, OpenLink Financial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Assessing the impact of the Future Modernisation Act on energy trading strategies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Managing credit risk in the new economy</w:t>
            </w:r>
          </w:p>
          <w:p>
            <w:pPr>
              <w:pStyle w:val="Heading1"/>
              <w:ind w:hanging="0" w:start="0"/>
              <w:rPr/>
            </w:pPr>
            <w:r>
              <w:rPr/>
              <w:t>Jeff Kinneman, Enron Credit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The NYMEX perspective of future electronic trading developments</w:t>
            </w:r>
          </w:p>
          <w:p>
            <w:pPr>
              <w:pStyle w:val="Heading1"/>
              <w:ind w:hanging="0" w:start="0"/>
              <w:rPr/>
            </w:pPr>
            <w:r>
              <w:rPr/>
              <w:t>Louise Burke, NYMEX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Capitalizing on retail as an alternative to wholesale energy marketing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Addressing the challenges of split ratings in the US energy industry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Examining a utility perspective of electronic trading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Mohan Rajagopal, Koch Industries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Closing remarks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Closing remarks from the chair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Closing remarks from the chair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 of conference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 of conference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 of conference</w:t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orient="landscape" w:w="16838" w:h="11906"/>
      <w:pgMar w:left="1440" w:right="1440" w:gutter="0" w:header="0" w:top="1797" w:footer="0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i/>
      <w:i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2000-12-19T12:20:00Z</dcterms:created>
  <dc:creator>RISK</dc:creator>
  <dc:description/>
  <dc:language>en-CA</dc:language>
  <cp:lastModifiedBy>Risk-Waters</cp:lastModifiedBy>
  <cp:lastPrinted>2000-12-20T14:28:00Z</cp:lastPrinted>
  <dcterms:modified xsi:type="dcterms:W3CDTF">2000-12-22T14:09:00Z</dcterms:modified>
  <cp:revision>7</cp:revision>
  <dc:subject/>
  <dc:title>EPRM 2001 - Potential Topics</dc:title>
</cp:coreProperties>
</file>