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i w:val="false"/>
          <w:i w:val="false"/>
          <w:iCs w:val="false"/>
          <w:u w:val="none"/>
        </w:rPr>
      </w:pPr>
      <w:r>
        <w:rPr>
          <w:i w:val="false"/>
          <w:iCs w:val="false"/>
          <w:u w:val="none"/>
        </w:rPr>
        <w:t>- Time-saving tips on using FEA’s @ENERGY (Storage)</w:t>
      </w:r>
    </w:p>
    <w:p>
      <w:pPr>
        <w:pStyle w:val="Normal"/>
        <w:rPr>
          <w:i/>
          <w:i/>
          <w:iCs/>
          <w:u w:val="none"/>
        </w:rPr>
      </w:pPr>
      <w:r>
        <w:rPr>
          <w:i/>
          <w:iCs/>
          <w:u w:val="none"/>
        </w:rPr>
      </w:r>
    </w:p>
    <w:p>
      <w:pPr>
        <w:pStyle w:val="Normal"/>
        <w:rPr/>
      </w:pPr>
      <w:r>
        <w:rPr/>
        <w:t>Valuing storage contracts can be a time-consuming task. To apply FEA’s @ENERGY (Storage) more effectively, it may be worthwhile to understand what the contributing factors are speed-wise by first carefully reading the FEA @Energy manual and then follow these simple suggestions: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i/>
          <w:iCs/>
        </w:rPr>
        <w:t>Have a sensible “unit” definition</w:t>
      </w:r>
      <w:r>
        <w:rPr/>
        <w:t>.</w:t>
      </w:r>
    </w:p>
    <w:p>
      <w:pPr>
        <w:pStyle w:val="Normal"/>
        <w:ind w:start="720" w:end="0"/>
        <w:rPr/>
      </w:pPr>
      <w:r>
        <w:rPr/>
        <w:t>Example: if one always trades in 100 mcf blocks, set 100 mcf  =  1 unit.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i/>
          <w:iCs/>
        </w:rPr>
        <w:t>Eliminate any redundant ratchet specifications in input</w:t>
      </w:r>
      <w:r>
        <w:rPr/>
        <w:t>.</w:t>
      </w:r>
    </w:p>
    <w:p>
      <w:pPr>
        <w:pStyle w:val="Normal"/>
        <w:ind w:start="720" w:end="0"/>
        <w:rPr/>
      </w:pPr>
      <w:r>
        <w:rPr/>
        <w:t>Example: if the same information applies to different inventory ratchets and/or ratchet periods, simplify!</w:t>
      </w:r>
    </w:p>
    <w:p>
      <w:pPr>
        <w:pStyle w:val="Normal"/>
        <w:ind w:start="720" w:end="0"/>
        <w:rPr/>
      </w:pPr>
      <w:r>
        <w:rPr/>
        <w:t xml:space="preserve"> </w:t>
      </w:r>
    </w:p>
    <w:p>
      <w:pPr>
        <w:pStyle w:val="Normal"/>
        <w:numPr>
          <w:ilvl w:val="0"/>
          <w:numId w:val="2"/>
        </w:numPr>
        <w:rPr/>
      </w:pPr>
      <w:r>
        <w:rPr>
          <w:i/>
          <w:iCs/>
        </w:rPr>
        <w:t>Choose the appropriate pricing model</w:t>
      </w:r>
      <w:r>
        <w:rPr/>
        <w:t>.</w:t>
      </w:r>
    </w:p>
    <w:p>
      <w:pPr>
        <w:pStyle w:val="Normal"/>
        <w:ind w:start="720" w:end="0"/>
        <w:rPr/>
      </w:pPr>
      <w:r>
        <w:rPr/>
        <w:t>Studies have shown, in general, energy commodity prices are much better described by the log-normal mean-reversion model than the Black-Scholes. In our numerical tree implementation, the former typically involves fewer tree nodes hence fewer calculational steps.</w:t>
      </w:r>
    </w:p>
    <w:p>
      <w:pPr>
        <w:pStyle w:val="Normal"/>
        <w:ind w:start="360" w:end="0"/>
        <w:rPr/>
      </w:pPr>
      <w:r>
        <w:rPr/>
        <w:t xml:space="preserve">  </w:t>
      </w:r>
    </w:p>
    <w:p>
      <w:pPr>
        <w:pStyle w:val="Normal"/>
        <w:numPr>
          <w:ilvl w:val="0"/>
          <w:numId w:val="2"/>
        </w:numPr>
        <w:rPr/>
      </w:pPr>
      <w:r>
        <w:rPr>
          <w:i/>
          <w:iCs/>
        </w:rPr>
        <w:t>Consider employing the built-in (value-interpolation) approximation scheme when dealing with large inventory capacities</w:t>
      </w:r>
      <w:r>
        <w:rPr/>
        <w:t>.</w:t>
      </w:r>
    </w:p>
    <w:p>
      <w:pPr>
        <w:pStyle w:val="Normal"/>
        <w:ind w:start="720" w:end="0"/>
        <w:rPr/>
      </w:pPr>
      <w:r>
        <w:rPr/>
        <w:t xml:space="preserve">The scheme is invoked whenever </w:t>
      </w:r>
      <w:r>
        <w:rPr>
          <w:i/>
          <w:iCs/>
        </w:rPr>
        <w:t>max_state</w:t>
      </w:r>
      <w:r>
        <w:rPr/>
        <w:t xml:space="preserve"> (under the “</w:t>
      </w:r>
      <w:r>
        <w:rPr>
          <w:i/>
          <w:iCs/>
        </w:rPr>
        <w:t>mod_param</w:t>
      </w:r>
      <w:r>
        <w:rPr/>
        <w:t>” input) is set to less than “</w:t>
      </w:r>
      <w:r>
        <w:rPr>
          <w:i/>
          <w:iCs/>
        </w:rPr>
        <w:t>capacity</w:t>
      </w:r>
      <w:r>
        <w:rPr/>
        <w:t>”. One can readily estimate the approximation error by comparing the results from calculating the intrinsic value once exactly and then again with the approximation.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2"/>
        </w:numPr>
        <w:rPr>
          <w:i/>
          <w:i/>
          <w:iCs/>
        </w:rPr>
      </w:pPr>
      <w:r>
        <w:rPr>
          <w:i/>
          <w:iCs/>
        </w:rPr>
        <w:t>Update only results which are necessary.</w:t>
      </w:r>
    </w:p>
    <w:p>
      <w:pPr>
        <w:pStyle w:val="BodyTextIndent"/>
        <w:rPr/>
      </w:pPr>
      <w:r>
        <w:rPr/>
        <w:t>Finally, please bear in mind, in the templates currently provided, each result is generated by a separate function call. Thus calculating the whole template can be rather wasteful if one is only interested in one or two particular results.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firstLine="360"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i/>
      <w:i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2001-07-26T19:06:00Z</dcterms:created>
  <dc:creator>sue</dc:creator>
  <dc:description/>
  <dc:language>en-CA</dc:language>
  <cp:lastModifiedBy>cameron</cp:lastModifiedBy>
  <cp:lastPrinted>2001-07-26T14:35:00Z</cp:lastPrinted>
  <dcterms:modified xsi:type="dcterms:W3CDTF">2001-07-26T19:06:00Z</dcterms:modified>
  <cp:revision>2</cp:revision>
  <dc:subject/>
  <dc:title>Storage valuation and optimization</dc:title>
</cp:coreProperties>
</file>