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rPr/>
            </w:pPr>
            <w:r>
              <w:rPr/>
              <w:drawing>
                <wp:inline distT="0" distB="0" distL="0" distR="0">
                  <wp:extent cx="826770"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6770" cy="819150"/>
                          </a:xfrm>
                          <a:prstGeom prst="rect">
                            <a:avLst/>
                          </a:prstGeom>
                          <a:noFill/>
                        </pic:spPr>
                      </pic:pic>
                    </a:graphicData>
                  </a:graphic>
                </wp:inline>
              </w:drawing>
            </w:r>
          </w:p>
        </w:tc>
        <w:tc>
          <w:tcPr>
            <w:tcW w:w="8280" w:type="dxa"/>
            <w:tcBorders/>
          </w:tcPr>
          <w:p>
            <w:pPr>
              <w:pStyle w:val="Heading"/>
              <w:ind w:start="5202" w:end="0"/>
              <w:rPr>
                <w:b w:val="false"/>
                <w:sz w:val="18"/>
              </w:rPr>
            </w:pPr>
            <w:r>
              <w:rPr>
                <w:sz w:val="18"/>
              </w:rPr>
              <w:br/>
              <w:t>Enron Power Marketing, Inc.</w:t>
            </w:r>
          </w:p>
          <w:p>
            <w:pPr>
              <w:pStyle w:val="Heading"/>
              <w:ind w:start="5202" w:end="0"/>
              <w:rPr>
                <w:b w:val="false"/>
                <w:i/>
                <w:i/>
                <w:sz w:val="16"/>
              </w:rPr>
            </w:pPr>
            <w:r>
              <w:rPr>
                <w:b w:val="false"/>
                <w:i/>
                <w:sz w:val="16"/>
              </w:rPr>
              <w:t>P.O. Box 4428</w:t>
            </w:r>
          </w:p>
          <w:p>
            <w:pPr>
              <w:pStyle w:val="Normal"/>
              <w:ind w:start="5202" w:end="0"/>
              <w:rPr>
                <w:rFonts w:ascii="Arial" w:hAnsi="Arial" w:cs="Arial"/>
                <w:i/>
                <w:i/>
                <w:sz w:val="16"/>
              </w:rPr>
            </w:pPr>
            <w:r>
              <w:rPr>
                <w:rFonts w:cs="Arial" w:ascii="Arial" w:hAnsi="Arial"/>
                <w:i/>
                <w:sz w:val="16"/>
              </w:rPr>
              <w:t>Houston, Texas 77210-4428</w:t>
            </w:r>
          </w:p>
          <w:p>
            <w:pPr>
              <w:pStyle w:val="Normal"/>
              <w:ind w:start="5202" w:end="0"/>
              <w:rPr>
                <w:rFonts w:ascii="Arial" w:hAnsi="Arial" w:cs="Arial"/>
                <w:i/>
                <w:i/>
                <w:sz w:val="16"/>
              </w:rPr>
            </w:pPr>
            <w:r>
              <w:rPr>
                <w:rFonts w:cs="Arial" w:ascii="Arial" w:hAnsi="Arial"/>
                <w:i/>
                <w:sz w:val="16"/>
              </w:rPr>
              <w:t>(FAX) (713) 646-2491</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DateToday </w:instrText>
      </w:r>
      <w:r>
        <w:rPr>
          <w:sz w:val="20"/>
          <w:rFonts w:cs="Arial" w:ascii="Arial" w:hAnsi="Arial"/>
        </w:rPr>
        <w:fldChar w:fldCharType="separate"/>
      </w:r>
      <w:r>
        <w:rPr>
          <w:sz w:val="20"/>
          <w:rFonts w:cs="Arial" w:ascii="Arial" w:hAnsi="Arial"/>
        </w:rPr>
        <w:t>August 20, 2001</w:t>
      </w:r>
      <w:r>
        <w:rPr>
          <w:sz w:val="20"/>
          <w:rFonts w:cs="Arial" w:ascii="Arial" w:hAnsi="Arial"/>
        </w:rPr>
        <w:fldChar w:fldCharType="end"/>
      </w:r>
    </w:p>
    <w:p>
      <w:pPr>
        <w:pStyle w:val="Normal"/>
        <w:rPr>
          <w:rFonts w:ascii="Arial" w:hAnsi="Arial" w:cs="Arial"/>
          <w:sz w:val="20"/>
          <w:u w:val="single"/>
        </w:rPr>
      </w:pPr>
      <w:r>
        <w:rPr>
          <w:rFonts w:cs="Arial" w:ascii="Arial" w:hAnsi="Arial"/>
          <w:sz w:val="20"/>
          <w:u w:val="single"/>
        </w:rPr>
        <w:t>VIA FACSIMILE</w:t>
      </w:r>
    </w:p>
    <w:p>
      <w:pPr>
        <w:pStyle w:val="Normal"/>
        <w:rPr>
          <w:rFonts w:ascii="Arial" w:hAnsi="Arial" w:cs="Arial"/>
          <w:sz w:val="20"/>
        </w:rPr>
      </w:pPr>
      <w:r>
        <w:rPr>
          <w:rFonts w:cs="Arial" w:ascii="Arial" w:hAnsi="Arial"/>
          <w:sz w:val="20"/>
        </w:rPr>
        <w:t xml:space="preserve">ATTN: </w:t>
      </w:r>
      <w:r>
        <w:rPr>
          <w:rFonts w:cs="Arial" w:ascii="Arial" w:hAnsi="Arial"/>
          <w:sz w:val="20"/>
        </w:rPr>
        <w:fldChar w:fldCharType="begin"/>
      </w:r>
      <w:r>
        <w:rPr>
          <w:sz w:val="20"/>
          <w:rFonts w:cs="Arial" w:ascii="Arial" w:hAnsi="Arial"/>
        </w:rPr>
        <w:instrText xml:space="preserve"> MERGEFIELD CounterpartyContact </w:instrText>
      </w:r>
      <w:r>
        <w:rPr>
          <w:sz w:val="20"/>
          <w:rFonts w:cs="Arial" w:ascii="Arial" w:hAnsi="Arial"/>
        </w:rPr>
        <w:fldChar w:fldCharType="separate"/>
      </w:r>
      <w:r>
        <w:rPr>
          <w:sz w:val="20"/>
          <w:rFonts w:cs="Arial" w:ascii="Arial" w:hAnsi="Arial"/>
        </w:rPr>
        <w:t>Steve Maestas</w:t>
      </w:r>
      <w:r>
        <w:rPr>
          <w:sz w:val="20"/>
          <w:rFonts w:cs="Arial" w:ascii="Arial" w:hAnsi="Arial"/>
        </w:rPr>
        <w:fldChar w:fldCharType="end"/>
      </w:r>
    </w:p>
    <w:p>
      <w:pPr>
        <w:pStyle w:val="Normal"/>
        <w:tabs>
          <w:tab w:val="clear" w:pos="720"/>
          <w:tab w:val="left" w:pos="90" w:leader="none"/>
        </w:tabs>
        <w:rPr>
          <w:rFonts w:ascii="Arial" w:hAnsi="Arial" w:cs="Arial"/>
          <w:sz w:val="20"/>
        </w:rPr>
      </w:pPr>
      <w:r>
        <w:rPr>
          <w:rFonts w:cs="Arial" w:ascii="Arial" w:hAnsi="Arial"/>
          <w:sz w:val="20"/>
        </w:rPr>
        <w:t xml:space="preserve">FAX:  </w:t>
      </w:r>
      <w:r>
        <w:rPr>
          <w:rFonts w:cs="Arial" w:ascii="Arial" w:hAnsi="Arial"/>
          <w:sz w:val="20"/>
        </w:rPr>
        <w:fldChar w:fldCharType="begin"/>
      </w:r>
      <w:r>
        <w:rPr>
          <w:sz w:val="20"/>
          <w:rFonts w:cs="Arial" w:ascii="Arial" w:hAnsi="Arial"/>
        </w:rPr>
        <w:instrText xml:space="preserve"> MERGEFIELD CounterpartyFax </w:instrText>
      </w:r>
      <w:r>
        <w:rPr>
          <w:sz w:val="20"/>
          <w:rFonts w:cs="Arial" w:ascii="Arial" w:hAnsi="Arial"/>
        </w:rPr>
        <w:fldChar w:fldCharType="separate"/>
      </w:r>
      <w:r>
        <w:rPr>
          <w:sz w:val="20"/>
          <w:rFonts w:cs="Arial" w:ascii="Arial" w:hAnsi="Arial"/>
        </w:rPr>
        <w:t>(602) 250-3199</w:t>
      </w:r>
      <w:r>
        <w:rPr>
          <w:sz w:val="20"/>
          <w:rFonts w:cs="Arial" w:ascii="Arial" w:hAnsi="Arial"/>
        </w:rPr>
        <w:fldChar w:fldCharType="end"/>
      </w:r>
    </w:p>
    <w:p>
      <w:pPr>
        <w:pStyle w:val="Normal"/>
        <w:rPr>
          <w:rFonts w:ascii="Arial" w:hAnsi="Arial" w:cs="Arial"/>
          <w:sz w:val="20"/>
        </w:rPr>
      </w:pPr>
      <w:r>
        <w:rPr>
          <w:rFonts w:cs="Arial" w:ascii="Arial" w:hAnsi="Arial"/>
          <w:sz w:val="20"/>
        </w:rPr>
      </w:r>
    </w:p>
    <w:p>
      <w:pPr>
        <w:pStyle w:val="Normal"/>
        <w:jc w:val="both"/>
        <w:rPr/>
      </w:pPr>
      <w:r>
        <w:rPr>
          <w:rFonts w:cs="Arial" w:ascii="Arial" w:hAnsi="Arial"/>
          <w:sz w:val="20"/>
        </w:rPr>
        <w:t xml:space="preserve">This Confirmation shall confirm the Transaction agreed to on </w:t>
      </w:r>
      <w:r>
        <w:rPr>
          <w:rFonts w:cs="Arial" w:ascii="Arial" w:hAnsi="Arial"/>
          <w:sz w:val="20"/>
        </w:rPr>
        <w:fldChar w:fldCharType="begin"/>
      </w:r>
      <w:r>
        <w:rPr>
          <w:sz w:val="20"/>
          <w:rFonts w:cs="Arial" w:ascii="Arial" w:hAnsi="Arial"/>
        </w:rPr>
        <w:instrText xml:space="preserve"> MERGEFIELD DealDate </w:instrText>
      </w:r>
      <w:r>
        <w:rPr>
          <w:sz w:val="20"/>
          <w:rFonts w:cs="Arial" w:ascii="Arial" w:hAnsi="Arial"/>
        </w:rPr>
        <w:fldChar w:fldCharType="separate"/>
      </w:r>
      <w:r>
        <w:rPr>
          <w:sz w:val="20"/>
          <w:rFonts w:cs="Arial" w:ascii="Arial" w:hAnsi="Arial"/>
        </w:rPr>
        <w:t>August 20, 2001</w:t>
      </w:r>
      <w:r>
        <w:rPr>
          <w:sz w:val="20"/>
          <w:rFonts w:cs="Arial" w:ascii="Arial" w:hAnsi="Arial"/>
        </w:rPr>
        <w:fldChar w:fldCharType="end"/>
      </w:r>
      <w:r>
        <w:rPr>
          <w:rFonts w:cs="Arial" w:ascii="Arial" w:hAnsi="Arial"/>
          <w:sz w:val="20"/>
        </w:rPr>
        <w:t xml:space="preserve"> and binding between </w:t>
      </w:r>
      <w:r>
        <w:rPr>
          <w:rFonts w:cs="Arial" w:ascii="Arial" w:hAnsi="Arial"/>
          <w:sz w:val="20"/>
        </w:rPr>
        <w:fldChar w:fldCharType="begin"/>
      </w:r>
      <w:r>
        <w:rPr>
          <w:sz w:val="20"/>
          <w:rFonts w:cs="Arial" w:ascii="Arial" w:hAnsi="Arial"/>
        </w:rPr>
        <w:instrText xml:space="preserve"> MERGEFIELD CounterpartyName </w:instrText>
      </w:r>
      <w:r>
        <w:rPr>
          <w:sz w:val="20"/>
          <w:rFonts w:cs="Arial" w:ascii="Arial" w:hAnsi="Arial"/>
        </w:rPr>
        <w:fldChar w:fldCharType="separate"/>
      </w:r>
      <w:r>
        <w:rPr>
          <w:sz w:val="20"/>
          <w:rFonts w:cs="Arial" w:ascii="Arial" w:hAnsi="Arial"/>
        </w:rPr>
        <w:t>Pinnacle West Capital Corporation</w:t>
      </w:r>
      <w:r>
        <w:rPr>
          <w:sz w:val="20"/>
          <w:rFonts w:cs="Arial" w:ascii="Arial" w:hAnsi="Arial"/>
        </w:rPr>
        <w:fldChar w:fldCharType="end"/>
      </w:r>
      <w:r>
        <w:rPr>
          <w:rFonts w:cs="Arial" w:ascii="Arial" w:hAnsi="Arial"/>
          <w:sz w:val="20"/>
        </w:rPr>
        <w:t xml:space="preserve"> (“Customer”) and </w:t>
      </w:r>
      <w:r>
        <w:rPr>
          <w:rFonts w:cs="Arial" w:ascii="Arial" w:hAnsi="Arial"/>
          <w:sz w:val="20"/>
        </w:rPr>
        <w:fldChar w:fldCharType="begin"/>
      </w:r>
      <w:r>
        <w:rPr>
          <w:sz w:val="20"/>
          <w:rFonts w:cs="Arial" w:ascii="Arial" w:hAnsi="Arial"/>
        </w:rPr>
        <w:instrText xml:space="preserve"> MERGEFIELD EnronEntityNameCode </w:instrText>
      </w:r>
      <w:r>
        <w:rPr>
          <w:sz w:val="20"/>
          <w:rFonts w:cs="Arial" w:ascii="Arial" w:hAnsi="Arial"/>
        </w:rPr>
        <w:fldChar w:fldCharType="separate"/>
      </w:r>
      <w:r>
        <w:rPr>
          <w:sz w:val="20"/>
          <w:rFonts w:cs="Arial" w:ascii="Arial" w:hAnsi="Arial"/>
        </w:rPr>
        <w:t>Enron Power Marketing, Inc. (“EPMI”)</w:t>
      </w:r>
      <w:r>
        <w:rPr>
          <w:sz w:val="20"/>
          <w:rFonts w:cs="Arial" w:ascii="Arial" w:hAnsi="Arial"/>
        </w:rPr>
        <w:fldChar w:fldCharType="end"/>
      </w:r>
      <w:r>
        <w:rPr>
          <w:rFonts w:cs="Arial" w:ascii="Arial" w:hAnsi="Arial"/>
          <w:sz w:val="20"/>
        </w:rPr>
        <w:t xml:space="preserve"> (“Company”) regarding the purchase and sale of CAISO Energy on the following terms.</w:t>
      </w:r>
    </w:p>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1998"/>
        <w:gridCol w:w="8100"/>
      </w:tblGrid>
      <w:tr>
        <w:trPr/>
        <w:tc>
          <w:tcPr>
            <w:tcW w:w="1998" w:type="dxa"/>
            <w:tcBorders/>
          </w:tcPr>
          <w:p>
            <w:pPr>
              <w:pStyle w:val="Normal"/>
              <w:rPr>
                <w:rFonts w:ascii="Arial" w:hAnsi="Arial" w:cs="Arial"/>
                <w:sz w:val="20"/>
              </w:rPr>
            </w:pPr>
            <w:r>
              <w:rPr>
                <w:rFonts w:cs="Arial" w:ascii="Arial" w:hAnsi="Arial"/>
                <w:sz w:val="20"/>
              </w:rPr>
              <w:t>DEAL NO:</w:t>
            </w:r>
          </w:p>
        </w:tc>
        <w:tc>
          <w:tcPr>
            <w:tcW w:w="810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DealNumber </w:instrText>
            </w:r>
            <w:r>
              <w:rPr>
                <w:sz w:val="20"/>
                <w:rFonts w:cs="Arial" w:ascii="Arial" w:hAnsi="Arial"/>
              </w:rPr>
              <w:fldChar w:fldCharType="separate"/>
            </w:r>
            <w:r>
              <w:rPr>
                <w:sz w:val="20"/>
                <w:rFonts w:cs="Arial" w:ascii="Arial" w:hAnsi="Arial"/>
              </w:rPr>
              <w:t>740280.01</w:t>
            </w:r>
            <w:r>
              <w:rPr>
                <w:sz w:val="20"/>
                <w:rFonts w:cs="Arial" w:ascii="Arial" w:hAnsi="Arial"/>
              </w:rPr>
              <w:fldChar w:fldCharType="end"/>
            </w:r>
            <w:r>
              <w:rPr>
                <w:rFonts w:eastAsia="Arial" w:cs="Arial" w:ascii="Arial" w:hAnsi="Arial"/>
                <w:sz w:val="20"/>
              </w:rPr>
              <w:t xml:space="preserve">     </w:t>
            </w:r>
            <w:r>
              <w:rPr>
                <w:rFonts w:cs="Arial" w:ascii="Arial" w:hAnsi="Arial"/>
                <w:sz w:val="20"/>
              </w:rPr>
              <w:fldChar w:fldCharType="begin"/>
            </w:r>
            <w:r>
              <w:rPr>
                <w:sz w:val="20"/>
                <w:rFonts w:cs="Arial" w:ascii="Arial" w:hAnsi="Arial"/>
              </w:rPr>
              <w:instrText xml:space="preserve"> MERGEFIELD EnronOnlineDealNumber </w:instrText>
            </w:r>
            <w:r>
              <w:rPr>
                <w:sz w:val="20"/>
                <w:rFonts w:cs="Arial" w:ascii="Arial" w:hAnsi="Arial"/>
              </w:rPr>
              <w:fldChar w:fldCharType="separate"/>
            </w:r>
            <w:r>
              <w:rPr>
                <w:sz w:val="20"/>
                <w:rFonts w:cs="Arial" w:ascii="Arial" w:hAnsi="Arial"/>
              </w:rPr>
              <w:t>EOL 1730319</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1998"/>
        <w:gridCol w:w="8100"/>
      </w:tblGrid>
      <w:tr>
        <w:trPr/>
        <w:tc>
          <w:tcPr>
            <w:tcW w:w="1998" w:type="dxa"/>
            <w:tcBorders/>
          </w:tcPr>
          <w:p>
            <w:pPr>
              <w:pStyle w:val="Normal"/>
              <w:rPr>
                <w:rFonts w:ascii="Arial" w:hAnsi="Arial" w:cs="Arial"/>
                <w:sz w:val="20"/>
              </w:rPr>
            </w:pPr>
            <w:r>
              <w:rPr>
                <w:rFonts w:cs="Arial" w:ascii="Arial" w:hAnsi="Arial"/>
                <w:sz w:val="20"/>
              </w:rPr>
              <w:t>SELLER:</w:t>
            </w:r>
          </w:p>
        </w:tc>
        <w:tc>
          <w:tcPr>
            <w:tcW w:w="810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SellerName </w:instrText>
            </w:r>
            <w:r>
              <w:rPr>
                <w:sz w:val="20"/>
                <w:rFonts w:cs="Arial" w:ascii="Arial" w:hAnsi="Arial"/>
              </w:rPr>
              <w:fldChar w:fldCharType="separate"/>
            </w:r>
            <w:r>
              <w:rPr>
                <w:sz w:val="20"/>
                <w:rFonts w:cs="Arial" w:ascii="Arial" w:hAnsi="Arial"/>
              </w:rPr>
              <w:t>Enron Power Marketing, Inc.</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1998"/>
        <w:gridCol w:w="8100"/>
      </w:tblGrid>
      <w:tr>
        <w:trPr/>
        <w:tc>
          <w:tcPr>
            <w:tcW w:w="1998" w:type="dxa"/>
            <w:tcBorders/>
          </w:tcPr>
          <w:p>
            <w:pPr>
              <w:pStyle w:val="Normal"/>
              <w:rPr>
                <w:rFonts w:ascii="Arial" w:hAnsi="Arial" w:cs="Arial"/>
                <w:sz w:val="20"/>
              </w:rPr>
            </w:pPr>
            <w:r>
              <w:rPr>
                <w:rFonts w:cs="Arial" w:ascii="Arial" w:hAnsi="Arial"/>
                <w:sz w:val="20"/>
              </w:rPr>
              <w:t>BUYER:</w:t>
            </w:r>
          </w:p>
        </w:tc>
        <w:tc>
          <w:tcPr>
            <w:tcW w:w="810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BuyerName </w:instrText>
            </w:r>
            <w:r>
              <w:rPr>
                <w:sz w:val="20"/>
                <w:rFonts w:cs="Arial" w:ascii="Arial" w:hAnsi="Arial"/>
              </w:rPr>
              <w:fldChar w:fldCharType="separate"/>
            </w:r>
            <w:r>
              <w:rPr>
                <w:sz w:val="20"/>
                <w:rFonts w:cs="Arial" w:ascii="Arial" w:hAnsi="Arial"/>
              </w:rPr>
              <w:t>Pinnacle West Capital Corporation</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1998"/>
        <w:gridCol w:w="8100"/>
      </w:tblGrid>
      <w:tr>
        <w:trPr/>
        <w:tc>
          <w:tcPr>
            <w:tcW w:w="1998" w:type="dxa"/>
            <w:tcBorders/>
          </w:tcPr>
          <w:p>
            <w:pPr>
              <w:pStyle w:val="Normal"/>
              <w:rPr>
                <w:rFonts w:ascii="Arial" w:hAnsi="Arial" w:cs="Arial"/>
                <w:sz w:val="20"/>
              </w:rPr>
            </w:pPr>
            <w:r>
              <w:rPr>
                <w:rFonts w:cs="Arial" w:ascii="Arial" w:hAnsi="Arial"/>
                <w:sz w:val="20"/>
              </w:rPr>
              <w:t>DELIVERY TERM:</w:t>
            </w:r>
          </w:p>
        </w:tc>
        <w:tc>
          <w:tcPr>
            <w:tcW w:w="8100" w:type="dxa"/>
            <w:tcBorders/>
          </w:tcPr>
          <w:p>
            <w:pPr>
              <w:pStyle w:val="Normal"/>
              <w:rPr/>
            </w:pPr>
            <w:r>
              <w:rPr>
                <w:rFonts w:cs="Arial" w:ascii="Arial" w:hAnsi="Arial"/>
                <w:sz w:val="20"/>
              </w:rPr>
              <w:fldChar w:fldCharType="begin"/>
            </w:r>
            <w:r>
              <w:rPr>
                <w:sz w:val="20"/>
                <w:rFonts w:cs="Arial" w:ascii="Arial" w:hAnsi="Arial"/>
              </w:rPr>
              <w:instrText xml:space="preserve"> MERGEFIELD Term </w:instrText>
            </w:r>
            <w:r>
              <w:rPr>
                <w:sz w:val="20"/>
                <w:rFonts w:cs="Arial" w:ascii="Arial" w:hAnsi="Arial"/>
              </w:rPr>
              <w:fldChar w:fldCharType="separate"/>
            </w:r>
            <w:r>
              <w:rPr>
                <w:sz w:val="20"/>
                <w:rFonts w:cs="Arial" w:ascii="Arial" w:hAnsi="Arial"/>
              </w:rPr>
              <w:t xml:space="preserve">Wednesday, August 22, 2001. </w:t>
              <w:t xml:space="preserve">Hour Ending (HE) 0100 through HE 0600 and HE 2300 through HE 2400 (8 Hours); </w:t>
              <w:t xml:space="preserve">Pacific Prevailing Time. </w:t>
            </w:r>
            <w:r>
              <w:rPr>
                <w:sz w:val="20"/>
                <w:rFonts w:cs="Arial" w:ascii="Arial" w:hAnsi="Arial"/>
              </w:rPr>
              <w:fldChar w:fldCharType="end"/>
            </w:r>
            <w:r>
              <w:rPr>
                <w:rFonts w:eastAsia="Arial" w:cs="Arial" w:ascii="Arial" w:hAnsi="Arial"/>
                <w:sz w:val="20"/>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r>
    </w:p>
    <w:tbl>
      <w:tblPr>
        <w:tblW w:w="9378" w:type="dxa"/>
        <w:jc w:val="start"/>
        <w:tblInd w:w="0" w:type="dxa"/>
        <w:tblLayout w:type="fixed"/>
        <w:tblCellMar>
          <w:top w:w="0" w:type="dxa"/>
          <w:start w:w="108" w:type="dxa"/>
          <w:bottom w:w="0" w:type="dxa"/>
          <w:end w:w="108" w:type="dxa"/>
        </w:tblCellMar>
      </w:tblPr>
      <w:tblGrid>
        <w:gridCol w:w="1998"/>
        <w:gridCol w:w="7380"/>
      </w:tblGrid>
      <w:tr>
        <w:trPr/>
        <w:tc>
          <w:tcPr>
            <w:tcW w:w="199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20"/>
              </w:rPr>
            </w:pPr>
            <w:r>
              <w:rPr>
                <w:rFonts w:cs="Arial" w:ascii="Arial" w:hAnsi="Arial"/>
                <w:sz w:val="20"/>
              </w:rPr>
              <w:t>TYPE OF COMMODITY:</w:t>
            </w:r>
          </w:p>
        </w:tc>
        <w:tc>
          <w:tcPr>
            <w:tcW w:w="73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t>CAISO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r>
    </w:p>
    <w:tbl>
      <w:tblPr>
        <w:tblW w:w="9576" w:type="dxa"/>
        <w:jc w:val="start"/>
        <w:tblInd w:w="0" w:type="dxa"/>
        <w:tblLayout w:type="fixed"/>
        <w:tblCellMar>
          <w:top w:w="0" w:type="dxa"/>
          <w:start w:w="108" w:type="dxa"/>
          <w:bottom w:w="0" w:type="dxa"/>
          <w:end w:w="108" w:type="dxa"/>
        </w:tblCellMar>
      </w:tblPr>
      <w:tblGrid>
        <w:gridCol w:w="1998"/>
        <w:gridCol w:w="7578"/>
      </w:tblGrid>
      <w:tr>
        <w:trPr/>
        <w:tc>
          <w:tcPr>
            <w:tcW w:w="199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t>PRICE:</w:t>
            </w:r>
          </w:p>
        </w:tc>
        <w:tc>
          <w:tcPr>
            <w:tcW w:w="757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fldChar w:fldCharType="begin"/>
            </w:r>
            <w:r>
              <w:rPr>
                <w:sz w:val="20"/>
                <w:rFonts w:cs="Arial" w:ascii="Arial" w:hAnsi="Arial"/>
              </w:rPr>
              <w:instrText xml:space="preserve"> MERGEFIELD Price </w:instrText>
            </w:r>
            <w:r>
              <w:rPr>
                <w:sz w:val="20"/>
                <w:rFonts w:cs="Arial" w:ascii="Arial" w:hAnsi="Arial"/>
              </w:rPr>
              <w:fldChar w:fldCharType="separate"/>
            </w:r>
            <w:r>
              <w:rPr>
                <w:sz w:val="20"/>
                <w:rFonts w:cs="Arial" w:ascii="Arial" w:hAnsi="Arial"/>
              </w:rPr>
              <w:t>US Dollars $27.25/MWh.</w:t>
            </w:r>
            <w:r>
              <w:rPr>
                <w:sz w:val="20"/>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r>
    </w:p>
    <w:tbl>
      <w:tblPr>
        <w:tblW w:w="9576" w:type="dxa"/>
        <w:jc w:val="start"/>
        <w:tblInd w:w="0" w:type="dxa"/>
        <w:tblLayout w:type="fixed"/>
        <w:tblCellMar>
          <w:top w:w="0" w:type="dxa"/>
          <w:start w:w="108" w:type="dxa"/>
          <w:bottom w:w="0" w:type="dxa"/>
          <w:end w:w="108" w:type="dxa"/>
        </w:tblCellMar>
      </w:tblPr>
      <w:tblGrid>
        <w:gridCol w:w="1998"/>
        <w:gridCol w:w="7578"/>
      </w:tblGrid>
      <w:tr>
        <w:trPr/>
        <w:tc>
          <w:tcPr>
            <w:tcW w:w="199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t>QUANTITY:</w:t>
            </w:r>
          </w:p>
        </w:tc>
        <w:tc>
          <w:tcPr>
            <w:tcW w:w="757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20"/>
              </w:rPr>
              <w:fldChar w:fldCharType="begin"/>
            </w:r>
            <w:r>
              <w:rPr>
                <w:sz w:val="20"/>
                <w:rFonts w:cs="Arial" w:ascii="Arial" w:hAnsi="Arial"/>
              </w:rPr>
              <w:instrText xml:space="preserve"> MERGEFIELD SO2Quantity </w:instrText>
            </w:r>
            <w:r>
              <w:rPr>
                <w:sz w:val="20"/>
                <w:rFonts w:cs="Arial" w:ascii="Arial" w:hAnsi="Arial"/>
              </w:rPr>
              <w:fldChar w:fldCharType="separate"/>
            </w:r>
            <w:r>
              <w:rPr>
                <w:sz w:val="20"/>
                <w:rFonts w:cs="Arial" w:ascii="Arial" w:hAnsi="Arial"/>
              </w:rPr>
              <w:t>25</w:t>
            </w:r>
            <w:r>
              <w:rPr>
                <w:sz w:val="20"/>
                <w:rFonts w:cs="Arial" w:ascii="Arial" w:hAnsi="Arial"/>
              </w:rPr>
              <w:fldChar w:fldCharType="end"/>
            </w:r>
            <w:r>
              <w:rPr>
                <w:rFonts w:eastAsia="Arial" w:cs="Arial" w:ascii="Arial" w:hAnsi="Arial"/>
                <w:sz w:val="20"/>
              </w:rPr>
              <w:t xml:space="preserve"> </w:t>
            </w:r>
            <w:r>
              <w:rPr>
                <w:rFonts w:cs="Arial" w:ascii="Arial" w:hAnsi="Arial"/>
                <w:sz w:val="20"/>
              </w:rPr>
              <w:t xml:space="preserve">Mws of CAISO Energy per hour, </w:t>
            </w:r>
            <w:r>
              <w:rPr>
                <w:rFonts w:cs="Arial" w:ascii="Arial" w:hAnsi="Arial"/>
                <w:sz w:val="20"/>
              </w:rPr>
              <w:fldChar w:fldCharType="begin"/>
            </w:r>
            <w:r>
              <w:rPr>
                <w:sz w:val="20"/>
                <w:rFonts w:cs="Arial" w:ascii="Arial" w:hAnsi="Arial"/>
              </w:rPr>
              <w:instrText xml:space="preserve"> MERGEFIELD TotalQuantity </w:instrText>
            </w:r>
            <w:r>
              <w:rPr>
                <w:sz w:val="20"/>
                <w:rFonts w:cs="Arial" w:ascii="Arial" w:hAnsi="Arial"/>
              </w:rPr>
              <w:fldChar w:fldCharType="separate"/>
            </w:r>
            <w:r>
              <w:rPr>
                <w:sz w:val="20"/>
                <w:rFonts w:cs="Arial" w:ascii="Arial" w:hAnsi="Arial"/>
              </w:rPr>
              <w:t xml:space="preserve">         200 MWh</w:t>
            </w:r>
            <w:r>
              <w:rPr>
                <w:sz w:val="20"/>
                <w:rFonts w:cs="Arial" w:ascii="Arial" w:hAnsi="Arial"/>
              </w:rPr>
              <w:fldChar w:fldCharType="end"/>
            </w:r>
            <w:r>
              <w:rPr>
                <w:rFonts w:cs="Arial" w:ascii="Arial" w:hAnsi="Arial"/>
                <w:sz w:val="20"/>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r>
    </w:p>
    <w:tbl>
      <w:tblPr>
        <w:tblW w:w="9576" w:type="dxa"/>
        <w:jc w:val="start"/>
        <w:tblInd w:w="0" w:type="dxa"/>
        <w:tblLayout w:type="fixed"/>
        <w:tblCellMar>
          <w:top w:w="0" w:type="dxa"/>
          <w:start w:w="108" w:type="dxa"/>
          <w:bottom w:w="0" w:type="dxa"/>
          <w:end w:w="108" w:type="dxa"/>
        </w:tblCellMar>
      </w:tblPr>
      <w:tblGrid>
        <w:gridCol w:w="1998"/>
        <w:gridCol w:w="7578"/>
      </w:tblGrid>
      <w:tr>
        <w:trPr/>
        <w:tc>
          <w:tcPr>
            <w:tcW w:w="199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t>DELIVERY POINT:</w:t>
            </w:r>
          </w:p>
        </w:tc>
        <w:tc>
          <w:tcPr>
            <w:tcW w:w="757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fldChar w:fldCharType="begin"/>
            </w:r>
            <w:r>
              <w:rPr>
                <w:sz w:val="20"/>
                <w:rFonts w:cs="Arial" w:ascii="Arial" w:hAnsi="Arial"/>
              </w:rPr>
              <w:instrText xml:space="preserve"> MERGEFIELD DeliveryPoint </w:instrText>
            </w:r>
            <w:r>
              <w:rPr>
                <w:sz w:val="20"/>
                <w:rFonts w:cs="Arial" w:ascii="Arial" w:hAnsi="Arial"/>
              </w:rPr>
              <w:fldChar w:fldCharType="separate"/>
            </w:r>
            <w:r>
              <w:rPr>
                <w:sz w:val="20"/>
                <w:rFonts w:cs="Arial" w:ascii="Arial" w:hAnsi="Arial"/>
              </w:rPr>
              <w:t>SP-15</w:t>
              <w:t xml:space="preserve">SP-15 as currently defined, until such time that the definition of SP-15 changes or the zone ceases to exist, when the Delivery Point shall be that zone, or any physical location or bus, that reasonably resembles, in terms of liquidity and homogeneity and physical location, SCE1, and specifically excluding the proposed Zones “LA Basin Area Excluding LADWP” and “San Diego,” as identified in Figure 1 on page 10 of Appendix H (located at  </w:t>
              <w:t>&lt;http://www.caiso.com/docs/09003a6080/06/ec/09003a608006ec61.pdf&gt;) to the document entitled “Congestion Management Reform Recommendations” (Draft Proposal) dated July 28, 2000 issued by the California ISO on its official website: http://www.caiso.com.</w:t>
            </w:r>
            <w:r>
              <w:rPr>
                <w:sz w:val="20"/>
                <w:rFonts w:cs="Arial" w:ascii="Arial" w:hAnsi="Arial"/>
              </w:rPr>
              <w:fldChar w:fldCharType="end"/>
            </w:r>
          </w:p>
        </w:tc>
      </w:tr>
    </w:tbl>
    <w:p>
      <w:pPr>
        <w:pStyle w:val="Normal"/>
        <w:jc w:val="both"/>
        <w:rPr>
          <w:rFonts w:ascii="Arial" w:hAnsi="Arial" w:cs="Arial"/>
          <w:sz w:val="20"/>
          <w:u w:val="single"/>
        </w:rPr>
      </w:pPr>
      <w:r>
        <w:rPr>
          <w:rFonts w:cs="Arial" w:ascii="Arial" w:hAnsi="Arial"/>
          <w:sz w:val="20"/>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t>SCHEDULING:</w:t>
        <w:tab/>
        <w:t xml:space="preserve">          EPMI Real Time Operations: 1-800-684-1336</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20"/>
        </w:rPr>
      </w:pPr>
      <w:r>
        <w:rPr>
          <w:rFonts w:cs="Arial" w:ascii="Arial" w:hAnsi="Arial"/>
          <w:sz w:val="20"/>
        </w:rPr>
      </w:r>
    </w:p>
    <w:p>
      <w:pPr>
        <w:pStyle w:val="BodyTextIndent3"/>
        <w:ind w:start="0" w:end="0"/>
        <w:rPr/>
      </w:pPr>
      <w:r>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p>
      <w:pPr>
        <w:pStyle w:val="BodyTextIndent2"/>
        <w:rPr>
          <w:sz w:val="20"/>
        </w:rPr>
      </w:pPr>
      <w:r>
        <w:rPr>
          <w:sz w:val="20"/>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20"/>
        </w:rPr>
      </w:pPr>
      <w:r>
        <w:rPr>
          <w:rFonts w:cs="Arial" w:ascii="Arial" w:hAnsi="Arial"/>
          <w:sz w:val="20"/>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tabs>
          <w:tab w:val="clear" w:pos="720"/>
          <w:tab w:val="left" w:pos="360" w:leader="none"/>
          <w:tab w:val="left" w:pos="5040" w:leader="none"/>
          <w:tab w:val="left" w:pos="5760" w:leader="none"/>
          <w:tab w:val="left" w:pos="6480" w:leader="none"/>
        </w:tabs>
        <w:jc w:val="both"/>
        <w:rPr>
          <w:rFonts w:ascii="Arial" w:hAnsi="Arial" w:cs="Arial"/>
          <w:sz w:val="20"/>
        </w:rPr>
      </w:pPr>
      <w:r>
        <w:rPr>
          <w:rFonts w:cs="Arial" w:ascii="Arial" w:hAnsi="Arial"/>
          <w:sz w:val="20"/>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20"/>
        </w:rPr>
        <w:t xml:space="preserve">This confirmation letter is being provided pursuant to and in accordance with Western Systems Power Pool Agreement (“WSPP Agreement”), as amended periodically with FERC approval, to which </w:t>
      </w:r>
      <w:r>
        <w:rPr>
          <w:rFonts w:cs="Arial" w:ascii="Arial" w:hAnsi="Arial"/>
          <w:sz w:val="20"/>
        </w:rPr>
        <w:fldChar w:fldCharType="begin"/>
      </w:r>
      <w:r>
        <w:rPr>
          <w:sz w:val="20"/>
          <w:rFonts w:cs="Arial" w:ascii="Arial" w:hAnsi="Arial"/>
        </w:rPr>
        <w:instrText xml:space="preserve"> MERGEFIELD CounterpartyName </w:instrText>
      </w:r>
      <w:r>
        <w:rPr>
          <w:sz w:val="20"/>
          <w:rFonts w:cs="Arial" w:ascii="Arial" w:hAnsi="Arial"/>
        </w:rPr>
        <w:fldChar w:fldCharType="separate"/>
      </w:r>
      <w:r>
        <w:rPr>
          <w:sz w:val="20"/>
          <w:rFonts w:cs="Arial" w:ascii="Arial" w:hAnsi="Arial"/>
        </w:rPr>
        <w:t>Pinnacle West Capital Corporation</w:t>
      </w:r>
      <w:r>
        <w:rPr>
          <w:sz w:val="20"/>
          <w:rFonts w:cs="Arial" w:ascii="Arial" w:hAnsi="Arial"/>
        </w:rPr>
        <w:fldChar w:fldCharType="end"/>
      </w:r>
      <w:r>
        <w:rPr>
          <w:rFonts w:cs="Arial" w:ascii="Arial" w:hAnsi="Arial"/>
          <w:sz w:val="20"/>
        </w:rPr>
        <w:t xml:space="preserve"> and </w:t>
      </w:r>
      <w:r>
        <w:rPr>
          <w:rFonts w:cs="Arial" w:ascii="Arial" w:hAnsi="Arial"/>
          <w:sz w:val="20"/>
        </w:rPr>
        <w:fldChar w:fldCharType="begin"/>
      </w:r>
      <w:r>
        <w:rPr>
          <w:sz w:val="20"/>
          <w:rFonts w:cs="Arial" w:ascii="Arial" w:hAnsi="Arial"/>
        </w:rPr>
        <w:instrText xml:space="preserve"> MERGEFIELD EnronEntityCode </w:instrText>
      </w:r>
      <w:r>
        <w:rPr>
          <w:sz w:val="20"/>
          <w:rFonts w:cs="Arial" w:ascii="Arial" w:hAnsi="Arial"/>
        </w:rPr>
        <w:fldChar w:fldCharType="separate"/>
      </w:r>
      <w:r>
        <w:rPr>
          <w:sz w:val="20"/>
          <w:rFonts w:cs="Arial" w:ascii="Arial" w:hAnsi="Arial"/>
        </w:rPr>
        <w:t>EPMI</w:t>
      </w:r>
      <w:r>
        <w:rPr>
          <w:sz w:val="20"/>
          <w:rFonts w:cs="Arial" w:ascii="Arial" w:hAnsi="Arial"/>
        </w:rPr>
        <w:fldChar w:fldCharType="end"/>
      </w:r>
      <w:r>
        <w:rPr>
          <w:rFonts w:cs="Arial" w:ascii="Arial" w:hAnsi="Arial"/>
          <w:sz w:val="20"/>
        </w:rPr>
        <w:t xml:space="preserve"> are parties.  Terms used but not defined herein shall have the meanings ascribed to them in the WSPP Agreement. </w:t>
      </w:r>
    </w:p>
    <w:p>
      <w:pPr>
        <w:pStyle w:val="Normal"/>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Notwithstanding any contrary provisions in the Agreement, any conflict between this Confirmation and the Agreement shall be resolved in favor of this Confirmation. Company does hereby adopt this letterhead, including the address, as its signature in respect of the identification of Company and the authentication by Company of this Confirmation.  Any objection of Customer to this Confirmation must be made by written notice to Company within ten (10) days of receipt of same.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If you have any questions please call (713) 853-1886.</w:t>
      </w:r>
    </w:p>
    <w:sectPr>
      <w:headerReference w:type="default" r:id="rId3"/>
      <w:headerReference w:type="first" r:id="rId4"/>
      <w:footerReference w:type="default" r:id="rId5"/>
      <w:footerReference w:type="first" r:id="rId6"/>
      <w:type w:val="nextPage"/>
      <w:pgSz w:w="11085" w:h="15840"/>
      <w:pgMar w:left="576" w:right="57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45.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2">
    <w:name w:val="Body Text Indent 2"/>
    <w:basedOn w:val="Normal"/>
    <w:qFormat/>
    <w:pPr>
      <w:tabs>
        <w:tab w:val="left" w:pos="720" w:leader="none"/>
        <w:tab w:val="left" w:pos="1440" w:leader="none"/>
        <w:tab w:val="left" w:pos="2160" w:leader="none"/>
        <w:tab w:val="left" w:pos="5040" w:leader="none"/>
        <w:tab w:val="left" w:pos="5760" w:leader="none"/>
        <w:tab w:val="left" w:pos="6480" w:leader="none"/>
      </w:tabs>
      <w:ind w:hanging="0" w:start="1980" w:end="0"/>
      <w:jc w:val="both"/>
    </w:pPr>
    <w:rPr>
      <w:rFonts w:ascii="Arial" w:hAnsi="Arial" w:cs="Arial"/>
      <w:color w:val="000000"/>
      <w:sz w:val="18"/>
    </w:rPr>
  </w:style>
  <w:style w:type="paragraph" w:styleId="BodyTextIndent3">
    <w:name w:val="Body Text Indent 3"/>
    <w:basedOn w:val="Normal"/>
    <w:qFormat/>
    <w:pPr>
      <w:tabs>
        <w:tab w:val="clear" w:pos="720"/>
        <w:tab w:val="left" w:pos="360" w:leader="none"/>
        <w:tab w:val="left" w:pos="5040" w:leader="none"/>
        <w:tab w:val="left" w:pos="5760" w:leader="none"/>
        <w:tab w:val="left" w:pos="6480" w:leader="none"/>
      </w:tabs>
      <w:ind w:hanging="0" w:start="2070" w:end="0"/>
      <w:jc w:val="both"/>
    </w:pPr>
    <w:rPr>
      <w:rFonts w:ascii="Arial" w:hAnsi="Arial" w:cs="Arial"/>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2001-08-21T16:45:00Z</dcterms:created>
  <dc:creator>EOL 1730319</dc:creator>
  <dc:description/>
  <dc:language>en-CA</dc:language>
  <cp:lastModifiedBy>mmurphy</cp:lastModifiedBy>
  <dcterms:modified xsi:type="dcterms:W3CDTF">2001-08-21T16:45:00Z</dcterms:modified>
  <cp:revision>2</cp:revision>
  <dc:subject/>
  <dc:title>740280.01</dc:title>
</cp:coreProperties>
</file>