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«EnronEntityName»</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«EnronLogoAddr1»</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«EnronLogoAddr2»</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«EnronLogoAddr3»</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«EnronLogoTelephone»</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«EnronLogoFax»</w:t>
            </w:r>
            <w:r>
              <w:rPr>
                <w:sz w:val="22"/>
                <w:i/>
              </w:rPr>
              <w:fldChar w:fldCharType="end"/>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November 29, 2000</w:t>
      </w:r>
    </w:p>
    <w:p>
      <w:pPr>
        <w:pStyle w:val="Normal"/>
        <w:rPr>
          <w:sz w:val="22"/>
        </w:rPr>
      </w:pPr>
      <w:r>
        <w:rPr>
          <w:sz w:val="22"/>
        </w:rPr>
        <w:t>To:</w:t>
        <w:tab/>
        <w:tab/>
        <w:t>Southern California Water Company ("Party B")</w:t>
      </w:r>
    </w:p>
    <w:p>
      <w:pPr>
        <w:pStyle w:val="Normal"/>
        <w:rPr>
          <w:sz w:val="22"/>
        </w:rPr>
      </w:pPr>
      <w:r>
        <w:rPr>
          <w:sz w:val="22"/>
        </w:rPr>
        <w:t>Attention:</w:t>
        <w:tab/>
      </w:r>
    </w:p>
    <w:p>
      <w:pPr>
        <w:pStyle w:val="Normal"/>
        <w:rPr>
          <w:sz w:val="22"/>
        </w:rPr>
      </w:pPr>
      <w:r>
        <w:rPr>
          <w:sz w:val="22"/>
        </w:rPr>
        <w:t>Fax No.:</w:t>
        <w:tab/>
      </w:r>
    </w:p>
    <w:p>
      <w:pPr>
        <w:pStyle w:val="Normal"/>
        <w:rPr>
          <w:sz w:val="22"/>
        </w:rPr>
      </w:pPr>
      <w:r>
        <w:rPr>
          <w:sz w:val="22"/>
        </w:rPr>
        <w:t>From:</w:t>
        <w:tab/>
        <w:tab/>
        <w:t>Enron North America Corp.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 xml:space="preserve"> </w:t>
      </w:r>
      <w:r>
        <w:rPr>
          <w:sz w:val="22"/>
        </w:rPr>
        <w:fldChar w:fldCharType="end"/>
      </w:r>
    </w:p>
    <w:p>
      <w:pPr>
        <w:pStyle w:val="Normal"/>
        <w:rPr>
          <w:sz w:val="22"/>
        </w:rPr>
      </w:pPr>
      <w:r>
        <w:rPr>
          <w:sz w:val="22"/>
        </w:rPr>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___________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rPr>
                <w:sz w:val="22"/>
              </w:rPr>
            </w:pPr>
            <w:r>
              <w:rPr>
                <w:sz w:val="22"/>
              </w:rPr>
              <w:t>_____ MWs per hour for each On-Peak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Electricity/MWh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MWh (Megawatt hours)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t>[_________,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[December 1,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[March 31, 2002]</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Each calendar month beginning with December 1, 2000 and ending on March 31, 2001.</w:t>
            </w:r>
          </w:p>
          <w:p>
            <w:pPr>
              <w:pStyle w:val="Normal"/>
              <w:ind w:start="-18" w:end="0"/>
              <w:jc w:val="both"/>
              <w:rPr>
                <w:sz w:val="22"/>
              </w:rPr>
            </w:pPr>
            <w:r>
              <w:rPr>
                <w:sz w:val="22"/>
              </w:rPr>
            </w:r>
          </w:p>
          <w:p>
            <w:pPr>
              <w:pStyle w:val="Normal"/>
              <w:ind w:start="-18" w:end="0"/>
              <w:jc w:val="both"/>
              <w:rPr>
                <w:sz w:val="22"/>
              </w:rPr>
            </w:pPr>
            <w:r>
              <w:rPr>
                <w:sz w:val="22"/>
              </w:rPr>
              <w:t>Each calendar month beginning with November 1, 2001 and ending on March 31, 2002</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fifth (5th) Business Day following the last day of the month that includes the Calculation Period.</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2898"/>
        <w:gridCol w:w="7542"/>
      </w:tblGrid>
      <w:tr>
        <w:trPr/>
        <w:tc>
          <w:tcPr>
            <w:tcW w:w="2898" w:type="dxa"/>
            <w:tcBorders/>
          </w:tcPr>
          <w:p>
            <w:pPr>
              <w:pStyle w:val="Normal"/>
              <w:rPr/>
            </w:pPr>
            <w:r>
              <w:rPr>
                <w:b/>
                <w:sz w:val="22"/>
              </w:rPr>
              <w:t>Fixed Amount Details:</w:t>
            </w:r>
            <w:r>
              <w:rPr>
                <w:sz w:val="22"/>
              </w:rPr>
              <w:tab/>
            </w:r>
          </w:p>
        </w:tc>
        <w:tc>
          <w:tcPr>
            <w:tcW w:w="7542" w:type="dxa"/>
            <w:tcBorders/>
          </w:tcPr>
          <w:p>
            <w:pPr>
              <w:pStyle w:val="Normal"/>
              <w:snapToGrid w:val="false"/>
              <w:rPr>
                <w:sz w:val="22"/>
              </w:rPr>
            </w:pPr>
            <w:r>
              <w:rPr>
                <w:sz w:val="22"/>
              </w:rPr>
            </w:r>
          </w:p>
        </w:tc>
      </w:tr>
      <w:tr>
        <w:trPr/>
        <w:tc>
          <w:tcPr>
            <w:tcW w:w="2898" w:type="dxa"/>
            <w:tcBorders/>
          </w:tcPr>
          <w:p>
            <w:pPr>
              <w:pStyle w:val="Normal"/>
              <w:snapToGrid w:val="false"/>
              <w:ind w:start="810" w:end="0"/>
              <w:rPr>
                <w:sz w:val="22"/>
              </w:rPr>
            </w:pPr>
            <w:r>
              <w:rPr>
                <w:sz w:val="22"/>
              </w:rPr>
            </w:r>
          </w:p>
        </w:tc>
        <w:tc>
          <w:tcPr>
            <w:tcW w:w="7542" w:type="dxa"/>
            <w:tcBorders/>
          </w:tcPr>
          <w:p>
            <w:pPr>
              <w:pStyle w:val="Normal"/>
              <w:snapToGrid w:val="false"/>
              <w:rPr>
                <w:sz w:val="22"/>
              </w:rPr>
            </w:pPr>
            <w:r>
              <w:rPr>
                <w:sz w:val="22"/>
              </w:rPr>
            </w:r>
          </w:p>
        </w:tc>
      </w:tr>
      <w:tr>
        <w:trPr/>
        <w:tc>
          <w:tcPr>
            <w:tcW w:w="2898" w:type="dxa"/>
            <w:tcBorders/>
          </w:tcPr>
          <w:p>
            <w:pPr>
              <w:pStyle w:val="Normal"/>
              <w:ind w:firstLine="720" w:end="0"/>
              <w:rPr>
                <w:sz w:val="22"/>
              </w:rPr>
            </w:pPr>
            <w:r>
              <w:rPr>
                <w:sz w:val="22"/>
              </w:rPr>
              <w:t>Fixed Price Payer:</w:t>
            </w:r>
          </w:p>
        </w:tc>
        <w:tc>
          <w:tcPr>
            <w:tcW w:w="7542" w:type="dxa"/>
            <w:tcBorders/>
          </w:tcPr>
          <w:p>
            <w:pPr>
              <w:pStyle w:val="Normal"/>
              <w:rPr>
                <w:sz w:val="22"/>
              </w:rPr>
            </w:pPr>
            <w:r>
              <w:rPr>
                <w:sz w:val="22"/>
              </w:rPr>
              <w:t>Southern California Water Company</w:t>
            </w:r>
          </w:p>
        </w:tc>
      </w:tr>
      <w:tr>
        <w:trPr/>
        <w:tc>
          <w:tcPr>
            <w:tcW w:w="2898" w:type="dxa"/>
            <w:tcBorders/>
          </w:tcPr>
          <w:p>
            <w:pPr>
              <w:pStyle w:val="Normal"/>
              <w:snapToGrid w:val="false"/>
              <w:rPr>
                <w:sz w:val="22"/>
              </w:rPr>
            </w:pPr>
            <w:r>
              <w:rPr>
                <w:sz w:val="22"/>
              </w:rPr>
            </w:r>
          </w:p>
        </w:tc>
        <w:tc>
          <w:tcPr>
            <w:tcW w:w="7542" w:type="dxa"/>
            <w:tcBorders/>
          </w:tcPr>
          <w:p>
            <w:pPr>
              <w:pStyle w:val="Normal"/>
              <w:snapToGrid w:val="false"/>
              <w:rPr>
                <w:sz w:val="22"/>
              </w:rPr>
            </w:pPr>
            <w:r>
              <w:rPr>
                <w:sz w:val="22"/>
              </w:rPr>
            </w:r>
          </w:p>
        </w:tc>
      </w:tr>
      <w:tr>
        <w:trPr/>
        <w:tc>
          <w:tcPr>
            <w:tcW w:w="2898" w:type="dxa"/>
            <w:tcBorders/>
          </w:tcPr>
          <w:p>
            <w:pPr>
              <w:pStyle w:val="Normal"/>
              <w:ind w:firstLine="720" w:end="0"/>
              <w:rPr>
                <w:sz w:val="22"/>
              </w:rPr>
            </w:pPr>
            <w:r>
              <w:rPr>
                <w:sz w:val="22"/>
              </w:rPr>
              <w:t>Fixed Price:</w:t>
            </w:r>
          </w:p>
        </w:tc>
        <w:tc>
          <w:tcPr>
            <w:tcW w:w="7542" w:type="dxa"/>
            <w:tcBorders/>
          </w:tcPr>
          <w:p>
            <w:pPr>
              <w:pStyle w:val="Normal"/>
              <w:jc w:val="both"/>
              <w:rPr>
                <w:sz w:val="22"/>
              </w:rPr>
            </w:pPr>
            <w:r>
              <w:rPr>
                <w:sz w:val="22"/>
              </w:rPr>
              <w:t>[$____]</w:t>
            </w:r>
          </w:p>
        </w:tc>
      </w:tr>
    </w:tbl>
    <w:p>
      <w:pPr>
        <w:pStyle w:val="Normal"/>
        <w:rPr>
          <w:sz w:val="22"/>
        </w:rPr>
      </w:pPr>
      <w:r>
        <w:rPr>
          <w:sz w:val="22"/>
        </w:rPr>
      </w:r>
    </w:p>
    <w:tbl>
      <w:tblPr>
        <w:tblW w:w="10440" w:type="dxa"/>
        <w:jc w:val="start"/>
        <w:tblInd w:w="18" w:type="dxa"/>
        <w:tblLayout w:type="fixed"/>
        <w:tblCellMar>
          <w:top w:w="0" w:type="dxa"/>
          <w:start w:w="108" w:type="dxa"/>
          <w:bottom w:w="0" w:type="dxa"/>
          <w:end w:w="108" w:type="dxa"/>
        </w:tblCellMar>
      </w:tblPr>
      <w:tblGrid>
        <w:gridCol w:w="2898"/>
        <w:gridCol w:w="7542"/>
      </w:tblGrid>
      <w:tr>
        <w:trPr/>
        <w:tc>
          <w:tcPr>
            <w:tcW w:w="2898" w:type="dxa"/>
            <w:tcBorders/>
          </w:tcPr>
          <w:p>
            <w:pPr>
              <w:pStyle w:val="Normal"/>
              <w:rPr/>
            </w:pPr>
            <w:r>
              <w:rPr>
                <w:b/>
                <w:sz w:val="22"/>
              </w:rPr>
              <w:t>Floating Amount Details:</w:t>
            </w:r>
            <w:r>
              <w:rPr>
                <w:sz w:val="22"/>
              </w:rPr>
              <w:tab/>
            </w:r>
          </w:p>
        </w:tc>
        <w:tc>
          <w:tcPr>
            <w:tcW w:w="7542" w:type="dxa"/>
            <w:tcBorders/>
          </w:tcPr>
          <w:p>
            <w:pPr>
              <w:pStyle w:val="Normal"/>
              <w:snapToGrid w:val="false"/>
              <w:rPr>
                <w:sz w:val="22"/>
              </w:rPr>
            </w:pPr>
            <w:r>
              <w:rPr>
                <w:sz w:val="22"/>
              </w:rPr>
            </w:r>
          </w:p>
        </w:tc>
      </w:tr>
      <w:tr>
        <w:trPr/>
        <w:tc>
          <w:tcPr>
            <w:tcW w:w="2898" w:type="dxa"/>
            <w:tcBorders/>
          </w:tcPr>
          <w:p>
            <w:pPr>
              <w:pStyle w:val="Normal"/>
              <w:snapToGrid w:val="false"/>
              <w:rPr>
                <w:sz w:val="22"/>
              </w:rPr>
            </w:pPr>
            <w:r>
              <w:rPr>
                <w:sz w:val="22"/>
              </w:rPr>
            </w:r>
          </w:p>
        </w:tc>
        <w:tc>
          <w:tcPr>
            <w:tcW w:w="7542" w:type="dxa"/>
            <w:tcBorders/>
          </w:tcPr>
          <w:p>
            <w:pPr>
              <w:pStyle w:val="Normal"/>
              <w:snapToGrid w:val="false"/>
              <w:rPr>
                <w:sz w:val="22"/>
              </w:rPr>
            </w:pPr>
            <w:r>
              <w:rPr>
                <w:sz w:val="22"/>
              </w:rPr>
            </w:r>
          </w:p>
        </w:tc>
      </w:tr>
      <w:tr>
        <w:trPr>
          <w:trHeight w:val="324" w:hRule="atLeast"/>
        </w:trPr>
        <w:tc>
          <w:tcPr>
            <w:tcW w:w="2898" w:type="dxa"/>
            <w:tcBorders/>
          </w:tcPr>
          <w:p>
            <w:pPr>
              <w:pStyle w:val="Normal"/>
              <w:ind w:firstLine="720" w:end="0"/>
              <w:rPr>
                <w:sz w:val="22"/>
              </w:rPr>
            </w:pPr>
            <w:r>
              <w:rPr>
                <w:sz w:val="22"/>
              </w:rPr>
              <w:t>Floating Price Payer:</w:t>
            </w:r>
          </w:p>
        </w:tc>
        <w:tc>
          <w:tcPr>
            <w:tcW w:w="7542" w:type="dxa"/>
            <w:tcBorders/>
          </w:tcPr>
          <w:p>
            <w:pPr>
              <w:pStyle w:val="Normal"/>
              <w:rPr>
                <w:sz w:val="22"/>
              </w:rPr>
            </w:pPr>
            <w:r>
              <w:rPr>
                <w:sz w:val="22"/>
              </w:rPr>
              <w:t>Enron North America Corp.</w:t>
            </w:r>
          </w:p>
        </w:tc>
      </w:tr>
      <w:tr>
        <w:trPr/>
        <w:tc>
          <w:tcPr>
            <w:tcW w:w="2898" w:type="dxa"/>
            <w:tcBorders/>
          </w:tcPr>
          <w:p>
            <w:pPr>
              <w:pStyle w:val="Normal"/>
              <w:snapToGrid w:val="false"/>
              <w:rPr>
                <w:sz w:val="22"/>
              </w:rPr>
            </w:pPr>
            <w:r>
              <w:rPr>
                <w:sz w:val="22"/>
              </w:rPr>
            </w:r>
          </w:p>
        </w:tc>
        <w:tc>
          <w:tcPr>
            <w:tcW w:w="7542" w:type="dxa"/>
            <w:tcBorders/>
          </w:tcPr>
          <w:p>
            <w:pPr>
              <w:pStyle w:val="Normal"/>
              <w:snapToGrid w:val="false"/>
              <w:rPr>
                <w:sz w:val="22"/>
              </w:rPr>
            </w:pPr>
            <w:r>
              <w:rPr>
                <w:sz w:val="22"/>
              </w:rPr>
            </w:r>
          </w:p>
        </w:tc>
      </w:tr>
      <w:tr>
        <w:trPr/>
        <w:tc>
          <w:tcPr>
            <w:tcW w:w="289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7542" w:type="dxa"/>
            <w:tcBorders/>
          </w:tcPr>
          <w:p>
            <w:pPr>
              <w:pStyle w:val="Normal"/>
              <w:snapToGrid w:val="false"/>
              <w:jc w:val="both"/>
              <w:rPr>
                <w:sz w:val="22"/>
              </w:rPr>
            </w:pPr>
            <w:r>
              <w:rPr>
                <w:sz w:val="22"/>
              </w:rPr>
            </w:r>
          </w:p>
          <w:p>
            <w:pPr>
              <w:pStyle w:val="Normal"/>
              <w:rPr>
                <w:sz w:val="22"/>
              </w:rPr>
            </w:pPr>
            <w:r>
              <w:rPr>
                <w:sz w:val="22"/>
              </w:rPr>
              <w:t>The average of the hourly day-ahead zonal prices as published by the California Power Exchange (the “CalPX”) on the CalPX’s official web site currently located at http://www.calpx.com/prices/index_prices_dayahead_trading.html, or any successor thereto, under the headings “Hourly Zonal Prices Constrained Report: California Power Exchange Day-Ahead Zonal Prices (Constrained): SP15” for electricity during “On-Peak Hours” during the applicable Calculation Period.</w:t>
            </w:r>
          </w:p>
          <w:p>
            <w:pPr>
              <w:pStyle w:val="Normal"/>
              <w:rPr>
                <w:sz w:val="22"/>
              </w:rPr>
            </w:pPr>
            <w:r>
              <w:rPr>
                <w:sz w:val="22"/>
              </w:rPr>
            </w:r>
          </w:p>
          <w:p>
            <w:pPr>
              <w:pStyle w:val="Normal"/>
              <w:jc w:val="both"/>
              <w:rPr>
                <w:sz w:val="22"/>
              </w:rPr>
            </w:pPr>
            <w:r>
              <w:rPr>
                <w:sz w:val="22"/>
              </w:rPr>
              <w:t>“</w:t>
            </w:r>
            <w:r>
              <w:rPr>
                <w:sz w:val="22"/>
              </w:rPr>
              <w:t>On-Peak Hours” means the hours commencing HE 0700 through HE 2200 Pacific Prevailing Time, Monday through Saturday (excluding Sundays and holidays of the North American Electric Reliability Council).</w:t>
            </w:r>
          </w:p>
        </w:tc>
      </w:tr>
      <w:tr>
        <w:trPr/>
        <w:tc>
          <w:tcPr>
            <w:tcW w:w="2898" w:type="dxa"/>
            <w:tcBorders/>
          </w:tcPr>
          <w:p>
            <w:pPr>
              <w:pStyle w:val="Normal"/>
              <w:snapToGrid w:val="false"/>
              <w:ind w:firstLine="720" w:end="0"/>
              <w:rPr>
                <w:sz w:val="22"/>
              </w:rPr>
            </w:pPr>
            <w:r>
              <w:rPr>
                <w:sz w:val="22"/>
              </w:rPr>
            </w:r>
          </w:p>
        </w:tc>
        <w:tc>
          <w:tcPr>
            <w:tcW w:w="7542" w:type="dxa"/>
            <w:tcBorders/>
          </w:tcPr>
          <w:p>
            <w:pPr>
              <w:pStyle w:val="Normal"/>
              <w:snapToGrid w:val="false"/>
              <w:jc w:val="both"/>
              <w:rPr>
                <w:sz w:val="22"/>
              </w:rPr>
            </w:pPr>
            <w:r>
              <w:rPr>
                <w:sz w:val="22"/>
              </w:rPr>
            </w:r>
          </w:p>
        </w:tc>
      </w:tr>
      <w:tr>
        <w:trPr/>
        <w:tc>
          <w:tcPr>
            <w:tcW w:w="2898" w:type="dxa"/>
            <w:tcBorders/>
          </w:tcPr>
          <w:p>
            <w:pPr>
              <w:pStyle w:val="Normal"/>
              <w:ind w:firstLine="702" w:end="0"/>
              <w:rPr>
                <w:sz w:val="22"/>
              </w:rPr>
            </w:pPr>
            <w:r>
              <w:rPr>
                <w:sz w:val="22"/>
              </w:rPr>
              <w:t>Fallback Reference Price:</w:t>
            </w:r>
          </w:p>
        </w:tc>
        <w:tc>
          <w:tcPr>
            <w:tcW w:w="7542" w:type="dxa"/>
            <w:tcBorders/>
          </w:tcPr>
          <w:p>
            <w:pPr>
              <w:pStyle w:val="Normal"/>
              <w:jc w:val="both"/>
              <w:rPr/>
            </w:pPr>
            <w:r>
              <w:rPr>
                <w:sz w:val="22"/>
              </w:rPr>
              <w:t xml:space="preserve">If the Floating Price definition of SP-15 changes or the zone ceases to exist, then the Floating Price shall be determined by reference to the zone, or any physical location or bus, that reasonably resembles, in terms of liquidity and homogeneity and physical location, SCE1, as published in Appendix H to the document entitled “Congestion Management Reform Recommendations” (Draft Proposal) dated July 28, 2000 issued by the California ISO on its official website currently located at </w:t>
            </w:r>
            <w:hyperlink r:id="rId3">
              <w:r>
                <w:rPr>
                  <w:rStyle w:val="Hyperlink"/>
                  <w:sz w:val="22"/>
                </w:rPr>
                <w:t>www.caliso.com</w:t>
              </w:r>
            </w:hyperlink>
            <w:r>
              <w:rPr>
                <w:sz w:val="22"/>
              </w:rPr>
              <w:t>, but specifically excluding the proposed Zones “LA Basin Area Excluding LADWP,” “San Diego,” “PAS1” and “ANA1”.</w:t>
            </w:r>
          </w:p>
        </w:tc>
      </w:tr>
      <w:tr>
        <w:trPr/>
        <w:tc>
          <w:tcPr>
            <w:tcW w:w="2898" w:type="dxa"/>
            <w:tcBorders/>
          </w:tcPr>
          <w:p>
            <w:pPr>
              <w:pStyle w:val="Normal"/>
              <w:snapToGrid w:val="false"/>
              <w:ind w:firstLine="702" w:end="0"/>
              <w:rPr>
                <w:sz w:val="22"/>
              </w:rPr>
            </w:pPr>
            <w:r>
              <w:rPr>
                <w:sz w:val="22"/>
              </w:rPr>
            </w:r>
          </w:p>
        </w:tc>
        <w:tc>
          <w:tcPr>
            <w:tcW w:w="754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pPr>
            <w:r>
              <w:rPr>
                <w:sz w:val="22"/>
              </w:rPr>
              <w:t>For the purposes of the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then the third (3</w:t>
            </w:r>
            <w:r>
              <w:rPr>
                <w:sz w:val="22"/>
                <w:vertAlign w:val="superscript"/>
              </w:rPr>
              <w:t>rd</w:t>
            </w:r>
            <w:r>
              <w:rPr>
                <w:sz w:val="22"/>
              </w:rPr>
              <w:t>) decimal number shall remain unchanged.</w:t>
            </w:r>
          </w:p>
        </w:tc>
      </w:tr>
    </w:tbl>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t>Enron North America Corp.</w:t>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By: ___________________</w:t>
            </w:r>
          </w:p>
          <w:p>
            <w:pPr>
              <w:pStyle w:val="Normal"/>
              <w:keepLines/>
              <w:rPr>
                <w:sz w:val="22"/>
              </w:rPr>
            </w:pPr>
            <w:r>
              <w:rPr>
                <w:sz w:val="22"/>
              </w:rPr>
              <w:t>Name: _________________</w:t>
            </w:r>
          </w:p>
          <w:p>
            <w:pPr>
              <w:pStyle w:val="Normal"/>
              <w:keepLines/>
              <w:rPr>
                <w:sz w:val="22"/>
              </w:rPr>
            </w:pPr>
            <w:r>
              <w:rPr>
                <w:sz w:val="22"/>
              </w:rPr>
              <w:t>Title:  _________________</w:t>
            </w:r>
          </w:p>
        </w:tc>
        <w:tc>
          <w:tcPr>
            <w:tcW w:w="5292" w:type="dxa"/>
            <w:tcBorders/>
          </w:tcPr>
          <w:p>
            <w:pPr>
              <w:pStyle w:val="Normal"/>
              <w:keepLines/>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Southern California Water Company</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4"/>
      <w:footerReference w:type="default" r:id="rId5"/>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18"/>
      </w:rPr>
      <w:t>Deal No.</w:t>
    </w:r>
    <w:r>
      <w:rPr/>
      <w:t xml:space="preserve"> </w:t>
    </w:r>
    <w:r>
      <w:rPr/>
      <w:fldChar w:fldCharType="begin"/>
    </w:r>
    <w:r>
      <w:rPr/>
      <w:instrText xml:space="preserve"> TITLE </w:instrText>
    </w:r>
    <w:r>
      <w:rPr/>
      <w:fldChar w:fldCharType="separate"/>
    </w:r>
    <w:r>
      <w:rPr/>
      <w:t xml:space="preserve"> </w:t>
    </w:r>
    <w:r>
      <w:rPr/>
      <w:fldChar w:fldCharType="end"/>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caliso.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2000-11-30T11:48:00Z</dcterms:created>
  <dc:creator>EOL#</dc:creator>
  <dc:description/>
  <dc:language>en-CA</dc:language>
  <cp:lastModifiedBy>sshackl</cp:lastModifiedBy>
  <cp:lastPrinted>2000-11-30T08:18:00Z</cp:lastPrinted>
  <dcterms:modified xsi:type="dcterms:W3CDTF">2000-11-30T11:57:00Z</dcterms:modified>
  <cp:revision>12</cp:revision>
  <dc:subject/>
  <dc:title> </dc:title>
</cp:coreProperties>
</file>