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r>
    </w:p>
    <w:p>
      <w:pPr>
        <w:pStyle w:val="Heading"/>
        <w:rPr>
          <w:rFonts w:eastAsia="MS Mincho;ＭＳ 明朝"/>
        </w:rPr>
      </w:pPr>
      <w:r>
        <w:rPr>
          <w:rFonts w:eastAsia="MS Mincho;ＭＳ 明朝"/>
        </w:rPr>
        <w:t>Standard Offer</w:t>
        <w:br/>
        <w:t>Service Agreement</w:t>
      </w:r>
    </w:p>
    <w:p>
      <w:pPr>
        <w:pStyle w:val="TitleI"/>
        <w:rPr/>
      </w:pPr>
      <w:r>
        <w:rPr/>
        <w:t>between</w:t>
      </w:r>
    </w:p>
    <w:p>
      <w:pPr>
        <w:pStyle w:val="Heading"/>
        <w:rPr>
          <w:rFonts w:eastAsia="MS Mincho;ＭＳ 明朝"/>
        </w:rPr>
      </w:pPr>
      <w:r>
        <w:rPr>
          <w:rFonts w:eastAsia="MS Mincho;ＭＳ 明朝"/>
        </w:rPr>
        <w:t>NIAGARA MOHAWK POWER CORPORATION</w:t>
      </w:r>
    </w:p>
    <w:p>
      <w:pPr>
        <w:pStyle w:val="TitleI"/>
        <w:rPr/>
      </w:pPr>
      <w:r>
        <w:rPr/>
        <w:t>and</w:t>
      </w:r>
    </w:p>
    <w:p>
      <w:pPr>
        <w:pStyle w:val="Heading"/>
        <w:rPr>
          <w:rFonts w:eastAsia="MS Mincho;ＭＳ 明朝"/>
        </w:rPr>
      </w:pPr>
      <w:r>
        <w:rPr>
          <w:rFonts w:eastAsia="MS Mincho;ＭＳ 明朝"/>
        </w:rPr>
        <w:t>[                            ]</w:t>
      </w:r>
    </w:p>
    <w:p>
      <w:pPr>
        <w:sectPr>
          <w:headerReference w:type="default" r:id="rId2"/>
          <w:footerReference w:type="default" r:id="rId3"/>
          <w:type w:val="nextPage"/>
          <w:pgSz w:w="12240" w:h="15840"/>
          <w:pgMar w:left="1440" w:right="1440" w:gutter="0" w:header="720" w:top="1440" w:footer="720" w:bottom="776"/>
          <w:pgNumType w:fmt="decimal"/>
          <w:formProt w:val="false"/>
          <w:textDirection w:val="lrTb"/>
          <w:docGrid w:type="default" w:linePitch="360" w:charSpace="0"/>
        </w:sectPr>
        <w:pStyle w:val="TitleI"/>
        <w:rPr/>
      </w:pPr>
      <w:r>
        <w:rPr/>
        <w:t>[            ], 2001</w:t>
      </w:r>
    </w:p>
    <w:p>
      <w:pPr>
        <w:pStyle w:val="PlainText"/>
        <w:jc w:val="center"/>
        <w:rPr>
          <w:rFonts w:eastAsia="MS Mincho;ＭＳ 明朝"/>
          <w:sz w:val="24"/>
        </w:rPr>
      </w:pPr>
      <w:r>
        <w:rPr>
          <w:rFonts w:eastAsia="MS Mincho;ＭＳ 明朝"/>
          <w:sz w:val="24"/>
        </w:rPr>
        <w:t>TABLE OF CONTENTS</w:t>
      </w:r>
    </w:p>
    <w:p>
      <w:pPr>
        <w:pStyle w:val="PlainText"/>
        <w:rPr>
          <w:rFonts w:eastAsia="MS Mincho;ＭＳ 明朝"/>
          <w:sz w:val="24"/>
        </w:rPr>
      </w:pPr>
      <w:r>
        <w:rPr>
          <w:rFonts w:eastAsia="MS Mincho;ＭＳ 明朝"/>
          <w:sz w:val="24"/>
        </w:rPr>
      </w:r>
    </w:p>
    <w:p>
      <w:pPr>
        <w:pStyle w:val="PlainText"/>
        <w:jc w:val="end"/>
        <w:rPr/>
      </w:pPr>
      <w:r>
        <w:rPr/>
        <w:t>Page</w:t>
      </w:r>
    </w:p>
    <w:sdt>
      <w:sdtPr>
        <w:docPartObj>
          <w:docPartGallery w:val="Table of Contents"/>
          <w:docPartUnique w:val="true"/>
        </w:docPartObj>
      </w:sdtPr>
      <w:sdtContent>
        <w:p>
          <w:pPr>
            <w:pStyle w:val="TOC1"/>
            <w:ind w:hanging="1620" w:start="1620" w:end="0"/>
            <w:rPr>
              <w:rFonts w:eastAsia="MS Mincho;ＭＳ 明朝"/>
              <w:lang w:val="en-CA"/>
            </w:rPr>
          </w:pPr>
          <w:r>
            <w:fldChar w:fldCharType="begin"/>
          </w:r>
          <w:r>
            <w:rPr>
              <w:rFonts w:eastAsia="MS Mincho;ＭＳ 明朝"/>
              <w:lang w:val="en-CA"/>
            </w:rPr>
            <w:instrText xml:space="preserve"> TOC \o "2-2" \t "Heading 1,1" </w:instrText>
          </w:r>
          <w:r>
            <w:rPr>
              <w:rFonts w:eastAsia="MS Mincho;ＭＳ 明朝"/>
              <w:lang w:val="en-CA"/>
            </w:rPr>
            <w:fldChar w:fldCharType="separate"/>
          </w:r>
          <w:r>
            <w:rPr>
              <w:rFonts w:eastAsia="MS Mincho;ＭＳ 明朝"/>
              <w:lang w:val="en-CA"/>
            </w:rPr>
            <w:t>Article 1. DEFINITIONS</w:t>
            <w:tab/>
          </w:r>
          <w:hyperlink w:anchor="__RefHeading___Toc509734691">
            <w:r>
              <w:rPr>
                <w:rStyle w:val="IndexLink"/>
                <w:rFonts w:eastAsia="MS Mincho;ＭＳ 明朝"/>
                <w:lang w:val="en-CA"/>
              </w:rPr>
              <w:t>1</w:t>
            </w:r>
          </w:hyperlink>
        </w:p>
        <w:p>
          <w:pPr>
            <w:pStyle w:val="TOC2"/>
            <w:tabs>
              <w:tab w:val="left" w:pos="1440" w:leader="none"/>
              <w:tab w:val="left" w:pos="1620" w:leader="none"/>
              <w:tab w:val="left" w:pos="1680" w:leader="none"/>
              <w:tab w:val="left" w:pos="2160" w:leader="none"/>
              <w:tab w:val="right" w:pos="9360" w:leader="dot"/>
            </w:tabs>
            <w:rPr/>
          </w:pPr>
          <w:r>
            <w:rPr/>
            <w:t>Section 1.01</w:t>
            <w:tab/>
            <w:t>Definitions.</w:t>
            <w:tab/>
          </w:r>
          <w:hyperlink w:anchor="__RefHeading___Toc509734692">
            <w:r>
              <w:rPr>
                <w:rStyle w:val="IndexLink"/>
              </w:rPr>
              <w:t>1</w:t>
            </w:r>
          </w:hyperlink>
        </w:p>
        <w:p>
          <w:pPr>
            <w:pStyle w:val="TOC2"/>
            <w:tabs>
              <w:tab w:val="left" w:pos="1440" w:leader="none"/>
              <w:tab w:val="left" w:pos="1620" w:leader="none"/>
              <w:tab w:val="left" w:pos="1680" w:leader="none"/>
              <w:tab w:val="left" w:pos="2160" w:leader="none"/>
              <w:tab w:val="right" w:pos="9360" w:leader="dot"/>
            </w:tabs>
            <w:rPr/>
          </w:pPr>
          <w:r>
            <w:rPr/>
            <w:t>Section 1.02</w:t>
            <w:tab/>
            <w:t>Additional Terms.</w:t>
            <w:tab/>
          </w:r>
          <w:hyperlink w:anchor="__RefHeading___Toc509734693">
            <w:r>
              <w:rPr>
                <w:rStyle w:val="IndexLink"/>
              </w:rPr>
              <w:t>11</w:t>
            </w:r>
          </w:hyperlink>
        </w:p>
        <w:p>
          <w:pPr>
            <w:pStyle w:val="TOC1"/>
            <w:rPr/>
          </w:pPr>
          <w:r>
            <w:rPr/>
            <w:t>Article 2. TERM; REQUIRED APPROVALS</w:t>
            <w:tab/>
          </w:r>
          <w:hyperlink w:anchor="__RefHeading___Toc509734694">
            <w:r>
              <w:rPr>
                <w:rStyle w:val="IndexLink"/>
              </w:rPr>
              <w:t>12</w:t>
            </w:r>
          </w:hyperlink>
        </w:p>
        <w:p>
          <w:pPr>
            <w:pStyle w:val="TOC2"/>
            <w:tabs>
              <w:tab w:val="left" w:pos="1440" w:leader="none"/>
              <w:tab w:val="left" w:pos="1620" w:leader="none"/>
              <w:tab w:val="left" w:pos="1680" w:leader="none"/>
              <w:tab w:val="left" w:pos="2160" w:leader="none"/>
              <w:tab w:val="right" w:pos="9360" w:leader="dot"/>
            </w:tabs>
            <w:rPr/>
          </w:pPr>
          <w:r>
            <w:rPr/>
            <w:t>Section 2.01</w:t>
            <w:tab/>
            <w:t>Term.</w:t>
            <w:tab/>
          </w:r>
          <w:hyperlink w:anchor="__RefHeading___Toc509734695">
            <w:r>
              <w:rPr>
                <w:rStyle w:val="IndexLink"/>
              </w:rPr>
              <w:t>12</w:t>
            </w:r>
          </w:hyperlink>
        </w:p>
        <w:p>
          <w:pPr>
            <w:pStyle w:val="TOC2"/>
            <w:tabs>
              <w:tab w:val="left" w:pos="1440" w:leader="none"/>
              <w:tab w:val="left" w:pos="1620" w:leader="none"/>
              <w:tab w:val="left" w:pos="1680" w:leader="none"/>
              <w:tab w:val="left" w:pos="2160" w:leader="none"/>
              <w:tab w:val="right" w:pos="9360" w:leader="dot"/>
            </w:tabs>
            <w:rPr/>
          </w:pPr>
          <w:r>
            <w:rPr/>
            <w:t>Section 2.02</w:t>
            <w:tab/>
            <w:t>Required Approvals.</w:t>
            <w:tab/>
          </w:r>
          <w:hyperlink w:anchor="__RefHeading___Toc509734696">
            <w:r>
              <w:rPr>
                <w:rStyle w:val="IndexLink"/>
              </w:rPr>
              <w:t>12</w:t>
            </w:r>
          </w:hyperlink>
        </w:p>
        <w:p>
          <w:pPr>
            <w:pStyle w:val="TOC1"/>
            <w:rPr/>
          </w:pPr>
          <w:r>
            <w:rPr/>
            <w:t>Article 3. SUPPLIER RESPONSIBILITIES</w:t>
            <w:tab/>
          </w:r>
          <w:hyperlink w:anchor="__RefHeading___Toc509734697">
            <w:r>
              <w:rPr>
                <w:rStyle w:val="IndexLink"/>
              </w:rPr>
              <w:t>12</w:t>
            </w:r>
          </w:hyperlink>
        </w:p>
        <w:p>
          <w:pPr>
            <w:pStyle w:val="TOC1"/>
            <w:rPr/>
          </w:pPr>
          <w:r>
            <w:rPr/>
            <w:t>Article 4. COMPANY RESPONSIBILITIES</w:t>
            <w:tab/>
          </w:r>
          <w:hyperlink w:anchor="__RefHeading___Toc509734698">
            <w:r>
              <w:rPr>
                <w:rStyle w:val="IndexLink"/>
              </w:rPr>
              <w:t>14</w:t>
            </w:r>
          </w:hyperlink>
        </w:p>
        <w:p>
          <w:pPr>
            <w:pStyle w:val="TOC1"/>
            <w:rPr/>
          </w:pPr>
          <w:r>
            <w:rPr/>
            <w:t>Article 5. PRICE</w:t>
            <w:tab/>
          </w:r>
          <w:hyperlink w:anchor="__RefHeading___Toc509734699">
            <w:r>
              <w:rPr>
                <w:rStyle w:val="IndexLink"/>
              </w:rPr>
              <w:t>15</w:t>
            </w:r>
          </w:hyperlink>
        </w:p>
        <w:p>
          <w:pPr>
            <w:pStyle w:val="TOC1"/>
            <w:rPr/>
          </w:pPr>
          <w:r>
            <w:rPr/>
            <w:t>Article 6. PAYMENTS</w:t>
            <w:tab/>
          </w:r>
          <w:hyperlink w:anchor="__RefHeading___Toc509734700">
            <w:r>
              <w:rPr>
                <w:rStyle w:val="IndexLink"/>
              </w:rPr>
              <w:t>17</w:t>
            </w:r>
          </w:hyperlink>
        </w:p>
        <w:p>
          <w:pPr>
            <w:pStyle w:val="TOC2"/>
            <w:tabs>
              <w:tab w:val="left" w:pos="1440" w:leader="none"/>
              <w:tab w:val="left" w:pos="1620" w:leader="none"/>
              <w:tab w:val="left" w:pos="1680" w:leader="none"/>
              <w:tab w:val="left" w:pos="2160" w:leader="none"/>
              <w:tab w:val="right" w:pos="9360" w:leader="dot"/>
            </w:tabs>
            <w:rPr/>
          </w:pPr>
          <w:r>
            <w:rPr/>
            <w:t>Section 6.01</w:t>
            <w:tab/>
            <w:t>Billing and Payment.</w:t>
            <w:tab/>
          </w:r>
          <w:hyperlink w:anchor="__RefHeading___Toc509734701">
            <w:r>
              <w:rPr>
                <w:rStyle w:val="IndexLink"/>
              </w:rPr>
              <w:t>17</w:t>
            </w:r>
          </w:hyperlink>
        </w:p>
        <w:p>
          <w:pPr>
            <w:pStyle w:val="TOC2"/>
            <w:tabs>
              <w:tab w:val="left" w:pos="1440" w:leader="none"/>
              <w:tab w:val="left" w:pos="1620" w:leader="none"/>
              <w:tab w:val="left" w:pos="1680" w:leader="none"/>
              <w:tab w:val="left" w:pos="2160" w:leader="none"/>
              <w:tab w:val="right" w:pos="9360" w:leader="dot"/>
            </w:tabs>
            <w:rPr/>
          </w:pPr>
          <w:r>
            <w:rPr/>
            <w:t>Section 6.02</w:t>
            <w:tab/>
            <w:t>Overdue Payments.</w:t>
            <w:tab/>
          </w:r>
          <w:hyperlink w:anchor="__RefHeading___Toc509734702">
            <w:r>
              <w:rPr>
                <w:rStyle w:val="IndexLink"/>
              </w:rPr>
              <w:t>17</w:t>
            </w:r>
          </w:hyperlink>
        </w:p>
        <w:p>
          <w:pPr>
            <w:pStyle w:val="TOC2"/>
            <w:tabs>
              <w:tab w:val="left" w:pos="1440" w:leader="none"/>
              <w:tab w:val="left" w:pos="1620" w:leader="none"/>
              <w:tab w:val="left" w:pos="1680" w:leader="none"/>
              <w:tab w:val="left" w:pos="2160" w:leader="none"/>
              <w:tab w:val="right" w:pos="9360" w:leader="dot"/>
            </w:tabs>
            <w:rPr/>
          </w:pPr>
          <w:r>
            <w:rPr/>
            <w:t>Section 6.03</w:t>
            <w:tab/>
            <w:t>Billing Disputes.</w:t>
            <w:tab/>
          </w:r>
          <w:hyperlink w:anchor="__RefHeading___Toc509734703">
            <w:r>
              <w:rPr>
                <w:rStyle w:val="IndexLink"/>
              </w:rPr>
              <w:t>17</w:t>
            </w:r>
          </w:hyperlink>
        </w:p>
        <w:p>
          <w:pPr>
            <w:pStyle w:val="TOC2"/>
            <w:tabs>
              <w:tab w:val="left" w:pos="1440" w:leader="none"/>
              <w:tab w:val="left" w:pos="1620" w:leader="none"/>
              <w:tab w:val="left" w:pos="1680" w:leader="none"/>
              <w:tab w:val="left" w:pos="2160" w:leader="none"/>
              <w:tab w:val="right" w:pos="9360" w:leader="dot"/>
            </w:tabs>
            <w:rPr/>
          </w:pPr>
          <w:r>
            <w:rPr/>
            <w:t>Section 6.04</w:t>
            <w:tab/>
            <w:t>Netting of Payments.</w:t>
            <w:tab/>
          </w:r>
          <w:hyperlink w:anchor="__RefHeading___Toc509734704">
            <w:r>
              <w:rPr>
                <w:rStyle w:val="IndexLink"/>
              </w:rPr>
              <w:t>18</w:t>
            </w:r>
          </w:hyperlink>
        </w:p>
        <w:p>
          <w:pPr>
            <w:pStyle w:val="TOC1"/>
            <w:rPr/>
          </w:pPr>
          <w:r>
            <w:rPr/>
            <w:t>Article 7. [SECURITY; CREDIT SUPPORT]</w:t>
            <w:tab/>
          </w:r>
          <w:hyperlink w:anchor="__RefHeading___Toc509734705">
            <w:r>
              <w:rPr>
                <w:rStyle w:val="IndexLink"/>
              </w:rPr>
              <w:t>18</w:t>
            </w:r>
          </w:hyperlink>
        </w:p>
        <w:p>
          <w:pPr>
            <w:pStyle w:val="TOC1"/>
            <w:rPr/>
          </w:pPr>
          <w:r>
            <w:rPr/>
            <w:t>Article 8. EVENTS OF DEFAULT; REMEDIES</w:t>
            <w:tab/>
          </w:r>
          <w:hyperlink w:anchor="__RefHeading___Toc509734706">
            <w:r>
              <w:rPr>
                <w:rStyle w:val="IndexLink"/>
              </w:rPr>
              <w:t>18</w:t>
            </w:r>
          </w:hyperlink>
        </w:p>
        <w:p>
          <w:pPr>
            <w:pStyle w:val="TOC2"/>
            <w:tabs>
              <w:tab w:val="left" w:pos="1440" w:leader="none"/>
              <w:tab w:val="left" w:pos="1620" w:leader="none"/>
              <w:tab w:val="left" w:pos="1680" w:leader="none"/>
              <w:tab w:val="left" w:pos="2160" w:leader="none"/>
              <w:tab w:val="right" w:pos="9360" w:leader="dot"/>
            </w:tabs>
            <w:rPr/>
          </w:pPr>
          <w:r>
            <w:rPr/>
            <w:t>Section 8.01</w:t>
            <w:tab/>
            <w:t>Events of Default.</w:t>
            <w:tab/>
          </w:r>
          <w:hyperlink w:anchor="__RefHeading___Toc509734707">
            <w:r>
              <w:rPr>
                <w:rStyle w:val="IndexLink"/>
              </w:rPr>
              <w:t>18</w:t>
            </w:r>
          </w:hyperlink>
        </w:p>
        <w:p>
          <w:pPr>
            <w:pStyle w:val="TOC2"/>
            <w:tabs>
              <w:tab w:val="left" w:pos="1440" w:leader="none"/>
              <w:tab w:val="left" w:pos="1620" w:leader="none"/>
              <w:tab w:val="left" w:pos="1680" w:leader="none"/>
              <w:tab w:val="left" w:pos="2160" w:leader="none"/>
              <w:tab w:val="right" w:pos="9360" w:leader="dot"/>
            </w:tabs>
            <w:rPr/>
          </w:pPr>
          <w:r>
            <w:rPr/>
            <w:t>Section 8.02</w:t>
            <w:tab/>
            <w:t>Remedies Upon Default.</w:t>
            <w:tab/>
          </w:r>
          <w:hyperlink w:anchor="__RefHeading___Toc509734708">
            <w:r>
              <w:rPr>
                <w:rStyle w:val="IndexLink"/>
              </w:rPr>
              <w:t>20</w:t>
            </w:r>
          </w:hyperlink>
        </w:p>
        <w:p>
          <w:pPr>
            <w:pStyle w:val="TOC1"/>
            <w:rPr/>
          </w:pPr>
          <w:r>
            <w:rPr/>
            <w:t>Article 9. ASSIGNMENT</w:t>
            <w:tab/>
          </w:r>
          <w:hyperlink w:anchor="__RefHeading___Toc509734709">
            <w:r>
              <w:rPr>
                <w:rStyle w:val="IndexLink"/>
              </w:rPr>
              <w:t>21</w:t>
            </w:r>
          </w:hyperlink>
        </w:p>
        <w:p>
          <w:pPr>
            <w:pStyle w:val="TOC1"/>
            <w:rPr/>
          </w:pPr>
          <w:r>
            <w:rPr/>
            <w:t>Article 10. ACCESS TO INFORMATION</w:t>
            <w:tab/>
          </w:r>
          <w:hyperlink w:anchor="__RefHeading___Toc509734710">
            <w:r>
              <w:rPr>
                <w:rStyle w:val="IndexLink"/>
              </w:rPr>
              <w:t>21</w:t>
            </w:r>
          </w:hyperlink>
        </w:p>
        <w:p>
          <w:pPr>
            <w:pStyle w:val="TOC1"/>
            <w:rPr/>
          </w:pPr>
          <w:r>
            <w:rPr/>
            <w:t>Article 11. INDEMNIFICATION; DEFENSE OF CLAIMS; LIMITATION OF REMEDIES</w:t>
            <w:tab/>
          </w:r>
          <w:hyperlink w:anchor="__RefHeading___Toc509734711">
            <w:r>
              <w:rPr>
                <w:rStyle w:val="IndexLink"/>
              </w:rPr>
              <w:t>22</w:t>
            </w:r>
          </w:hyperlink>
        </w:p>
        <w:p>
          <w:pPr>
            <w:pStyle w:val="TOC2"/>
            <w:tabs>
              <w:tab w:val="left" w:pos="1440" w:leader="none"/>
              <w:tab w:val="left" w:pos="1620" w:leader="none"/>
              <w:tab w:val="left" w:pos="1680" w:leader="none"/>
              <w:tab w:val="left" w:pos="2160" w:leader="none"/>
              <w:tab w:val="right" w:pos="9360" w:leader="dot"/>
            </w:tabs>
            <w:rPr/>
          </w:pPr>
          <w:r>
            <w:rPr/>
            <w:t>Section 11.01</w:t>
            <w:tab/>
            <w:t>Indemnification.</w:t>
            <w:tab/>
          </w:r>
          <w:hyperlink w:anchor="__RefHeading___Toc509734712">
            <w:r>
              <w:rPr>
                <w:rStyle w:val="IndexLink"/>
              </w:rPr>
              <w:t>22</w:t>
            </w:r>
          </w:hyperlink>
        </w:p>
        <w:p>
          <w:pPr>
            <w:pStyle w:val="TOC2"/>
            <w:tabs>
              <w:tab w:val="left" w:pos="1440" w:leader="none"/>
              <w:tab w:val="left" w:pos="1620" w:leader="none"/>
              <w:tab w:val="left" w:pos="1680" w:leader="none"/>
              <w:tab w:val="left" w:pos="2160" w:leader="none"/>
              <w:tab w:val="right" w:pos="9360" w:leader="dot"/>
            </w:tabs>
            <w:rPr/>
          </w:pPr>
          <w:r>
            <w:rPr/>
            <w:t>Section 11.02</w:t>
            <w:tab/>
            <w:t>Defense of Claims.</w:t>
            <w:tab/>
          </w:r>
          <w:hyperlink w:anchor="__RefHeading___Toc509734713">
            <w:r>
              <w:rPr>
                <w:rStyle w:val="IndexLink"/>
              </w:rPr>
              <w:t>23</w:t>
            </w:r>
          </w:hyperlink>
        </w:p>
        <w:p>
          <w:pPr>
            <w:pStyle w:val="TOC2"/>
            <w:tabs>
              <w:tab w:val="left" w:pos="1440" w:leader="none"/>
              <w:tab w:val="left" w:pos="1620" w:leader="none"/>
              <w:tab w:val="left" w:pos="1680" w:leader="none"/>
              <w:tab w:val="left" w:pos="2160" w:leader="none"/>
              <w:tab w:val="right" w:pos="9360" w:leader="dot"/>
            </w:tabs>
            <w:rPr/>
          </w:pPr>
          <w:r>
            <w:rPr/>
            <w:t>Section 11.03</w:t>
            <w:tab/>
            <w:t>Limitation of Remedies.</w:t>
            <w:tab/>
          </w:r>
          <w:hyperlink w:anchor="__RefHeading___Toc509734714">
            <w:r>
              <w:rPr>
                <w:rStyle w:val="IndexLink"/>
              </w:rPr>
              <w:t>26</w:t>
            </w:r>
          </w:hyperlink>
        </w:p>
        <w:p>
          <w:pPr>
            <w:pStyle w:val="TOC1"/>
            <w:rPr/>
          </w:pPr>
          <w:r>
            <w:rPr/>
            <w:t>Article 12. LEGAL PROCEEDINGS</w:t>
            <w:tab/>
          </w:r>
          <w:hyperlink w:anchor="__RefHeading___Toc509734715">
            <w:r>
              <w:rPr>
                <w:rStyle w:val="IndexLink"/>
              </w:rPr>
              <w:t>26</w:t>
            </w:r>
          </w:hyperlink>
        </w:p>
        <w:p>
          <w:pPr>
            <w:pStyle w:val="TOC2"/>
            <w:tabs>
              <w:tab w:val="left" w:pos="1440" w:leader="none"/>
              <w:tab w:val="left" w:pos="1620" w:leader="none"/>
              <w:tab w:val="left" w:pos="1680" w:leader="none"/>
              <w:tab w:val="left" w:pos="2160" w:leader="none"/>
              <w:tab w:val="right" w:pos="9360" w:leader="dot"/>
            </w:tabs>
            <w:rPr/>
          </w:pPr>
          <w:r>
            <w:rPr/>
            <w:t>Section 12.01</w:t>
            <w:tab/>
            <w:t>Submission to Jurisdiction.</w:t>
            <w:tab/>
          </w:r>
          <w:hyperlink w:anchor="__RefHeading___Toc509734716">
            <w:r>
              <w:rPr>
                <w:rStyle w:val="IndexLink"/>
              </w:rPr>
              <w:t>26</w:t>
            </w:r>
          </w:hyperlink>
        </w:p>
        <w:p>
          <w:pPr>
            <w:pStyle w:val="TOC2"/>
            <w:tabs>
              <w:tab w:val="left" w:pos="1440" w:leader="none"/>
              <w:tab w:val="left" w:pos="1620" w:leader="none"/>
              <w:tab w:val="left" w:pos="1680" w:leader="none"/>
              <w:tab w:val="left" w:pos="2160" w:leader="none"/>
              <w:tab w:val="right" w:pos="9360" w:leader="dot"/>
            </w:tabs>
            <w:rPr/>
          </w:pPr>
          <w:r>
            <w:rPr/>
            <w:t>Section 12.02</w:t>
            <w:tab/>
            <w:t>Waiver Of Jury Trial.</w:t>
            <w:tab/>
          </w:r>
          <w:hyperlink w:anchor="__RefHeading___Toc509734717">
            <w:r>
              <w:rPr>
                <w:rStyle w:val="IndexLink"/>
              </w:rPr>
              <w:t>26</w:t>
            </w:r>
          </w:hyperlink>
        </w:p>
        <w:p>
          <w:pPr>
            <w:pStyle w:val="TOC1"/>
            <w:rPr/>
          </w:pPr>
          <w:r>
            <w:rPr/>
            <w:t>Article 13. NOTICES</w:t>
            <w:tab/>
          </w:r>
          <w:hyperlink w:anchor="__RefHeading___Toc509734718">
            <w:r>
              <w:rPr>
                <w:rStyle w:val="IndexLink"/>
              </w:rPr>
              <w:t>27</w:t>
            </w:r>
          </w:hyperlink>
        </w:p>
        <w:p>
          <w:pPr>
            <w:pStyle w:val="TOC1"/>
            <w:rPr/>
          </w:pPr>
          <w:r>
            <w:rPr/>
            <w:t>Article 14. GOVERNING LAW</w:t>
            <w:tab/>
          </w:r>
          <w:hyperlink w:anchor="__RefHeading___Toc509734719">
            <w:r>
              <w:rPr>
                <w:rStyle w:val="IndexLink"/>
              </w:rPr>
              <w:t>28</w:t>
            </w:r>
          </w:hyperlink>
        </w:p>
        <w:p>
          <w:pPr>
            <w:pStyle w:val="TOC1"/>
            <w:rPr/>
          </w:pPr>
          <w:r>
            <w:rPr/>
            <w:t>Article 15. MISCELLANEOUS</w:t>
            <w:tab/>
          </w:r>
          <w:hyperlink w:anchor="__RefHeading___Toc509734720">
            <w:r>
              <w:rPr>
                <w:rStyle w:val="IndexLink"/>
              </w:rPr>
              <w:t>28</w:t>
            </w:r>
          </w:hyperlink>
        </w:p>
        <w:p>
          <w:pPr>
            <w:pStyle w:val="TOC2"/>
            <w:tabs>
              <w:tab w:val="left" w:pos="1440" w:leader="none"/>
              <w:tab w:val="left" w:pos="1620" w:leader="none"/>
              <w:tab w:val="left" w:pos="1680" w:leader="none"/>
              <w:tab w:val="left" w:pos="2160" w:leader="none"/>
              <w:tab w:val="right" w:pos="9360" w:leader="dot"/>
            </w:tabs>
            <w:rPr/>
          </w:pPr>
          <w:r>
            <w:rPr/>
            <w:t>Section 15.01</w:t>
            <w:tab/>
            <w:t>Further Assurances.</w:t>
            <w:tab/>
          </w:r>
          <w:hyperlink w:anchor="__RefHeading___Toc509734721">
            <w:r>
              <w:rPr>
                <w:rStyle w:val="IndexLink"/>
              </w:rPr>
              <w:t>28</w:t>
            </w:r>
          </w:hyperlink>
        </w:p>
        <w:p>
          <w:pPr>
            <w:pStyle w:val="TOC2"/>
            <w:tabs>
              <w:tab w:val="left" w:pos="1440" w:leader="none"/>
              <w:tab w:val="left" w:pos="1620" w:leader="none"/>
              <w:tab w:val="left" w:pos="1680" w:leader="none"/>
              <w:tab w:val="left" w:pos="2160" w:leader="none"/>
              <w:tab w:val="right" w:pos="9360" w:leader="dot"/>
            </w:tabs>
            <w:rPr/>
          </w:pPr>
          <w:r>
            <w:rPr/>
            <w:t>Section 15.02</w:t>
            <w:tab/>
            <w:t>Representations.</w:t>
            <w:tab/>
          </w:r>
          <w:hyperlink w:anchor="__RefHeading___Toc509734722">
            <w:r>
              <w:rPr>
                <w:rStyle w:val="IndexLink"/>
              </w:rPr>
              <w:t>28</w:t>
            </w:r>
          </w:hyperlink>
        </w:p>
        <w:p>
          <w:pPr>
            <w:pStyle w:val="TOC2"/>
            <w:tabs>
              <w:tab w:val="left" w:pos="1440" w:leader="none"/>
              <w:tab w:val="left" w:pos="1620" w:leader="none"/>
              <w:tab w:val="left" w:pos="1680" w:leader="none"/>
              <w:tab w:val="left" w:pos="2160" w:leader="none"/>
              <w:tab w:val="right" w:pos="9360" w:leader="dot"/>
            </w:tabs>
            <w:rPr/>
          </w:pPr>
          <w:r>
            <w:rPr/>
            <w:t>Section 15.03</w:t>
            <w:tab/>
            <w:t>Parties Bound by Terms; Waiver of Rate Change Rights.</w:t>
            <w:tab/>
          </w:r>
          <w:hyperlink w:anchor="__RefHeading___Toc509734723">
            <w:r>
              <w:rPr>
                <w:rStyle w:val="IndexLink"/>
              </w:rPr>
              <w:t>30</w:t>
            </w:r>
          </w:hyperlink>
        </w:p>
        <w:p>
          <w:pPr>
            <w:pStyle w:val="TOC2"/>
            <w:tabs>
              <w:tab w:val="left" w:pos="1440" w:leader="none"/>
              <w:tab w:val="left" w:pos="1620" w:leader="none"/>
              <w:tab w:val="left" w:pos="1680" w:leader="none"/>
              <w:tab w:val="left" w:pos="2160" w:leader="none"/>
              <w:tab w:val="right" w:pos="9360" w:leader="dot"/>
            </w:tabs>
            <w:rPr/>
          </w:pPr>
          <w:r>
            <w:rPr/>
            <w:t>Section 15.04</w:t>
            <w:tab/>
            <w:t>Counterparts.</w:t>
            <w:tab/>
          </w:r>
          <w:hyperlink w:anchor="__RefHeading___Toc509734724">
            <w:r>
              <w:rPr>
                <w:rStyle w:val="IndexLink"/>
              </w:rPr>
              <w:t>30</w:t>
            </w:r>
          </w:hyperlink>
        </w:p>
        <w:p>
          <w:pPr>
            <w:pStyle w:val="TOC2"/>
            <w:tabs>
              <w:tab w:val="left" w:pos="1440" w:leader="none"/>
              <w:tab w:val="left" w:pos="1620" w:leader="none"/>
              <w:tab w:val="left" w:pos="1680" w:leader="none"/>
              <w:tab w:val="left" w:pos="2160" w:leader="none"/>
              <w:tab w:val="right" w:pos="9360" w:leader="dot"/>
            </w:tabs>
            <w:rPr/>
          </w:pPr>
          <w:r>
            <w:rPr/>
            <w:t>Section 15.05</w:t>
            <w:tab/>
            <w:t>Interpretation; Construction.</w:t>
            <w:tab/>
          </w:r>
          <w:hyperlink w:anchor="__RefHeading___Toc509734725">
            <w:r>
              <w:rPr>
                <w:rStyle w:val="IndexLink"/>
              </w:rPr>
              <w:t>30</w:t>
            </w:r>
          </w:hyperlink>
        </w:p>
        <w:p>
          <w:pPr>
            <w:pStyle w:val="TOC2"/>
            <w:tabs>
              <w:tab w:val="left" w:pos="1440" w:leader="none"/>
              <w:tab w:val="left" w:pos="1620" w:leader="none"/>
              <w:tab w:val="left" w:pos="1680" w:leader="none"/>
              <w:tab w:val="left" w:pos="2160" w:leader="none"/>
              <w:tab w:val="right" w:pos="9360" w:leader="dot"/>
            </w:tabs>
            <w:rPr/>
          </w:pPr>
          <w:r>
            <w:rPr/>
            <w:t>Section 15.06</w:t>
            <w:tab/>
            <w:t>Schedules and Appendices.</w:t>
            <w:tab/>
          </w:r>
          <w:hyperlink w:anchor="__RefHeading___Toc509734726">
            <w:r>
              <w:rPr>
                <w:rStyle w:val="IndexLink"/>
              </w:rPr>
              <w:t>30</w:t>
            </w:r>
          </w:hyperlink>
        </w:p>
        <w:p>
          <w:pPr>
            <w:pStyle w:val="TOC2"/>
            <w:tabs>
              <w:tab w:val="left" w:pos="1440" w:leader="none"/>
              <w:tab w:val="left" w:pos="1620" w:leader="none"/>
              <w:tab w:val="left" w:pos="1680" w:leader="none"/>
              <w:tab w:val="left" w:pos="2160" w:leader="none"/>
              <w:tab w:val="right" w:pos="9360" w:leader="dot"/>
            </w:tabs>
            <w:rPr/>
          </w:pPr>
          <w:r>
            <w:rPr/>
            <w:t>Section 15.07</w:t>
            <w:tab/>
            <w:t>Entire Agreement.</w:t>
            <w:tab/>
          </w:r>
          <w:hyperlink w:anchor="__RefHeading___Toc509734727">
            <w:r>
              <w:rPr>
                <w:rStyle w:val="IndexLink"/>
              </w:rPr>
              <w:t>30</w:t>
            </w:r>
          </w:hyperlink>
        </w:p>
        <w:p>
          <w:pPr>
            <w:pStyle w:val="TOC2"/>
            <w:tabs>
              <w:tab w:val="left" w:pos="1440" w:leader="none"/>
              <w:tab w:val="left" w:pos="1620" w:leader="none"/>
              <w:tab w:val="left" w:pos="1680" w:leader="none"/>
              <w:tab w:val="left" w:pos="2160" w:leader="none"/>
              <w:tab w:val="right" w:pos="9360" w:leader="dot"/>
            </w:tabs>
            <w:rPr/>
          </w:pPr>
          <w:r>
            <w:rPr/>
            <w:t>Section 15.08</w:t>
            <w:tab/>
            <w:t>Severability.</w:t>
            <w:tab/>
          </w:r>
          <w:hyperlink w:anchor="__RefHeading___Toc509734728">
            <w:r>
              <w:rPr>
                <w:rStyle w:val="IndexLink"/>
              </w:rPr>
              <w:t>31</w:t>
            </w:r>
          </w:hyperlink>
        </w:p>
        <w:p>
          <w:pPr>
            <w:pStyle w:val="TOC2"/>
            <w:tabs>
              <w:tab w:val="left" w:pos="1440" w:leader="none"/>
              <w:tab w:val="left" w:pos="1620" w:leader="none"/>
              <w:tab w:val="left" w:pos="1680" w:leader="none"/>
              <w:tab w:val="left" w:pos="2160" w:leader="none"/>
              <w:tab w:val="right" w:pos="9360" w:leader="dot"/>
            </w:tabs>
            <w:rPr/>
          </w:pPr>
          <w:r>
            <w:rPr/>
            <w:t>Section 15.09</w:t>
            <w:tab/>
            <w:t>Survival.</w:t>
            <w:tab/>
          </w:r>
          <w:hyperlink w:anchor="__RefHeading___Toc509734729">
            <w:r>
              <w:rPr>
                <w:rStyle w:val="IndexLink"/>
              </w:rPr>
              <w:t>31</w:t>
            </w:r>
          </w:hyperlink>
        </w:p>
        <w:p>
          <w:pPr>
            <w:pStyle w:val="TOC2"/>
            <w:tabs>
              <w:tab w:val="left" w:pos="1440" w:leader="none"/>
              <w:tab w:val="left" w:pos="1620" w:leader="none"/>
              <w:tab w:val="left" w:pos="1680" w:leader="none"/>
              <w:tab w:val="left" w:pos="2160" w:leader="none"/>
              <w:tab w:val="right" w:pos="9360" w:leader="dot"/>
            </w:tabs>
            <w:rPr/>
          </w:pPr>
          <w:r>
            <w:rPr/>
            <w:t>Section 15.10</w:t>
            <w:tab/>
            <w:t>Confidential Information.</w:t>
            <w:tab/>
          </w:r>
          <w:hyperlink w:anchor="__RefHeading___Toc509734730">
            <w:r>
              <w:rPr>
                <w:rStyle w:val="IndexLink"/>
              </w:rPr>
              <w:t>31</w:t>
            </w:r>
          </w:hyperlink>
        </w:p>
        <w:p>
          <w:pPr>
            <w:pStyle w:val="TOC2"/>
            <w:tabs>
              <w:tab w:val="left" w:pos="1440" w:leader="none"/>
              <w:tab w:val="left" w:pos="1620" w:leader="none"/>
              <w:tab w:val="left" w:pos="1680" w:leader="none"/>
              <w:tab w:val="left" w:pos="2160" w:leader="none"/>
              <w:tab w:val="right" w:pos="9360" w:leader="dot"/>
            </w:tabs>
            <w:rPr/>
          </w:pPr>
          <w:r>
            <w:rPr/>
            <w:t>Section 15.11</w:t>
            <w:tab/>
            <w:t>Consents and Approvals.</w:t>
            <w:tab/>
          </w:r>
          <w:hyperlink w:anchor="__RefHeading___Toc509734731">
            <w:r>
              <w:rPr>
                <w:rStyle w:val="IndexLink"/>
              </w:rPr>
              <w:t>32</w:t>
            </w:r>
          </w:hyperlink>
        </w:p>
        <w:p>
          <w:pPr>
            <w:pStyle w:val="TOC2"/>
            <w:tabs>
              <w:tab w:val="left" w:pos="1440" w:leader="none"/>
              <w:tab w:val="left" w:pos="1620" w:leader="none"/>
              <w:tab w:val="left" w:pos="1680" w:leader="none"/>
              <w:tab w:val="left" w:pos="2160" w:leader="none"/>
              <w:tab w:val="right" w:pos="9360" w:leader="dot"/>
            </w:tabs>
            <w:rPr/>
          </w:pPr>
          <w:r>
            <w:rPr/>
            <w:t>Section 15.12</w:t>
            <w:tab/>
            <w:t>Certain Regulatory Proceedings.</w:t>
            <w:tab/>
          </w:r>
          <w:hyperlink w:anchor="__RefHeading___Toc509734732">
            <w:r>
              <w:rPr>
                <w:rStyle w:val="IndexLink"/>
              </w:rPr>
              <w:t>32</w:t>
            </w:r>
          </w:hyperlink>
        </w:p>
        <w:p>
          <w:pPr>
            <w:pStyle w:val="TOC2"/>
            <w:tabs>
              <w:tab w:val="left" w:pos="1440" w:leader="none"/>
              <w:tab w:val="left" w:pos="1620" w:leader="none"/>
              <w:tab w:val="left" w:pos="1680" w:leader="none"/>
              <w:tab w:val="left" w:pos="2160" w:leader="none"/>
              <w:tab w:val="right" w:pos="9360" w:leader="dot"/>
            </w:tabs>
            <w:rPr/>
          </w:pPr>
          <w:r>
            <w:rPr/>
            <w:t>Section 15.13</w:t>
            <w:tab/>
            <w:t>Relationship.</w:t>
            <w:tab/>
          </w:r>
          <w:hyperlink w:anchor="__RefHeading___Toc509734733">
            <w:r>
              <w:rPr>
                <w:rStyle w:val="IndexLink"/>
              </w:rPr>
              <w:t>33</w:t>
            </w:r>
          </w:hyperlink>
          <w:r>
            <w:rPr>
              <w:rStyle w:val="IndexLink"/>
            </w:rPr>
            <w:fldChar w:fldCharType="end"/>
          </w:r>
        </w:p>
      </w:sdtContent>
    </w:sdt>
    <w:p>
      <w:pPr>
        <w:pStyle w:val="toc"/>
        <w:rPr>
          <w:sz w:val="24"/>
        </w:rPr>
      </w:pPr>
      <w:r>
        <w:rPr>
          <w:sz w:val="24"/>
        </w:rPr>
        <w:t>SCHEDULE A – Standard Offer Service EHV Rate</w:t>
      </w:r>
    </w:p>
    <w:p>
      <w:pPr>
        <w:pStyle w:val="toc"/>
        <w:rPr>
          <w:sz w:val="24"/>
        </w:rPr>
      </w:pPr>
      <w:r>
        <w:rPr>
          <w:sz w:val="24"/>
        </w:rPr>
        <w:t>SCHEDULE B - Amortized TCC Costs</w:t>
      </w:r>
    </w:p>
    <w:p>
      <w:pPr>
        <w:pStyle w:val="toc"/>
        <w:rPr>
          <w:sz w:val="24"/>
        </w:rPr>
      </w:pPr>
      <w:r>
        <w:rPr>
          <w:sz w:val="24"/>
        </w:rPr>
        <w:t>SCHEDULE C - TCC’s</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toc"/>
        <w:rPr>
          <w:sz w:val="24"/>
        </w:rPr>
      </w:pPr>
      <w:r>
        <w:rPr>
          <w:sz w:val="24"/>
        </w:rPr>
        <w:t>SCHEDULE D – Required Regulatory Approvals</w:t>
      </w:r>
    </w:p>
    <w:p>
      <w:pPr>
        <w:pStyle w:val="TitleI"/>
        <w:rPr/>
      </w:pPr>
      <w:r>
        <w:rPr/>
        <w:t>STANDARD OFFER SERVICE AGREEMENT</w:t>
      </w:r>
    </w:p>
    <w:p>
      <w:pPr>
        <w:pStyle w:val="BodyTextFirstIndent"/>
        <w:rPr/>
      </w:pPr>
      <w:r>
        <w:rPr/>
        <w:t>This Standard Offer Service Agreement ("</w:t>
      </w:r>
      <w:r>
        <w:rPr>
          <w:u w:val="single"/>
        </w:rPr>
        <w:t>Agreement</w:t>
      </w:r>
      <w:r>
        <w:rPr/>
        <w:t>"), is made and entered into this       day of         , 2001, between Niagara Mohawk Power Corporation, a New York Corporation ("</w:t>
      </w:r>
      <w:r>
        <w:rPr>
          <w:u w:val="single"/>
        </w:rPr>
        <w:t>Company</w:t>
      </w:r>
      <w:r>
        <w:rPr/>
        <w:t>") and [                ], a [          ] corporation ("</w:t>
      </w:r>
      <w:r>
        <w:rPr>
          <w:u w:val="single"/>
        </w:rPr>
        <w:t>Supplier</w:t>
      </w:r>
      <w:r>
        <w:rPr/>
        <w:t>").</w:t>
      </w:r>
    </w:p>
    <w:p>
      <w:pPr>
        <w:pStyle w:val="BodyTextFirstIndent"/>
        <w:rPr/>
      </w:pPr>
      <w:r>
        <w:rPr/>
        <w:t>WHEREAS, the Company desires to contract for the provision of, and Supplier agrees to provide, all</w:t>
        <w:noBreakHyphen/>
        <w:t>requirements electric service, including capacity, energy, reserves, losses and other related services necessary to serve the Company's retail customers taking Standard Offer Service, and other services in accordance with this Agreement; and</w:t>
      </w:r>
    </w:p>
    <w:p>
      <w:pPr>
        <w:pStyle w:val="BodyTextFirstIndent"/>
        <w:rPr/>
      </w:pPr>
      <w:r>
        <w:rPr/>
        <w:t>WHEREAS, by entering into this Agreement, Supplier agrees to provide and the Company agrees to receive and pay for electricity provided in accordance with the terms and conditions of this Agreement; and</w:t>
      </w:r>
    </w:p>
    <w:p>
      <w:pPr>
        <w:pStyle w:val="BodyTextFirstIndent"/>
        <w:rPr/>
      </w:pPr>
      <w:r>
        <w:rPr/>
        <w:t>WHEREAS, Supplier has entered into a Power Purchase and Sale Agreement dated [        ], 2001 with the Company (as amended or modified from time to time, the "</w:t>
      </w:r>
      <w:r>
        <w:rPr>
          <w:u w:val="single"/>
        </w:rPr>
        <w:t>Purchase Agreement</w:t>
      </w:r>
      <w:r>
        <w:rPr/>
        <w:t>"); and, as a condition of such Purchase Agreement, Supplier is required to assume the Company's Standard Offer Service Consumption under this Agreement and to provide other services in accordance with this Agreement.</w:t>
      </w:r>
    </w:p>
    <w:p>
      <w:pPr>
        <w:pStyle w:val="BodyTextFirstIndent"/>
        <w:rPr/>
      </w:pPr>
      <w:r>
        <w:rPr/>
        <w:t>NOW, THEREFORE, in consideration of the mutual promises, covenants, and agreements contained herein, Supplier and Company agree to the terms and conditions as set forth below:</w:t>
      </w:r>
    </w:p>
    <w:p>
      <w:pPr>
        <w:pStyle w:val="Heading1"/>
        <w:keepNext w:val="false"/>
        <w:ind w:hanging="0" w:start="0"/>
        <w:rPr>
          <w:rFonts w:eastAsia="MS Mincho;ＭＳ 明朝"/>
        </w:rPr>
      </w:pPr>
      <w:r>
        <w:rPr>
          <w:rFonts w:eastAsia="MS Mincho;ＭＳ 明朝"/>
        </w:rPr>
        <w:br/>
      </w:r>
      <w:bookmarkStart w:id="0" w:name="__RefHeading___Toc509734691"/>
      <w:r>
        <w:rPr>
          <w:rFonts w:eastAsia="MS Mincho;ＭＳ 明朝"/>
        </w:rPr>
        <w:t>DEFINITIONS</w:t>
      </w:r>
      <w:bookmarkEnd w:id="0"/>
    </w:p>
    <w:p>
      <w:pPr>
        <w:pStyle w:val="Heading2"/>
        <w:ind w:hanging="0" w:start="0"/>
        <w:rPr>
          <w:vanish/>
          <w:color w:val="0000FF"/>
          <w:u w:val="none"/>
        </w:rPr>
      </w:pPr>
      <w:r>
        <w:rPr>
          <w:u w:val="none"/>
        </w:rPr>
        <w:tab/>
      </w:r>
      <w:bookmarkStart w:id="1" w:name="__RefHeading___Toc509734692"/>
      <w:r>
        <w:rPr/>
        <w:t>Definitions</w:t>
      </w:r>
      <w:r>
        <w:rPr>
          <w:u w:val="none"/>
        </w:rPr>
        <w:t>.</w:t>
      </w:r>
      <w:bookmarkEnd w:id="1"/>
    </w:p>
    <w:p>
      <w:pPr>
        <w:pStyle w:val="BodyTextFirstIndent"/>
        <w:rPr/>
      </w:pPr>
      <w:r>
        <w:rPr>
          <w:rFonts w:eastAsia="Courier New"/>
        </w:rPr>
        <w:t xml:space="preserve">  </w:t>
      </w:r>
      <w:r>
        <w:rPr/>
        <w:t xml:space="preserve">As used in this Agreement, the following terms have the meanings specified in this Section 1.01. </w:t>
      </w:r>
    </w:p>
    <w:p>
      <w:pPr>
        <w:pStyle w:val="BodyTextFirstIndent"/>
        <w:rPr/>
      </w:pPr>
      <w:r>
        <w:rPr/>
        <w:t>"</w:t>
      </w:r>
      <w:r>
        <w:rPr>
          <w:u w:val="single"/>
        </w:rPr>
        <w:t>Affiliate</w:t>
      </w:r>
      <w:r>
        <w:rPr/>
        <w:t xml:space="preserve">" </w:t>
      </w:r>
      <w:r>
        <w:rPr>
          <w:rFonts w:eastAsia="MS Mincho;ＭＳ 明朝"/>
        </w:rPr>
        <w:t>has the meaning set forth in Rule 12b-2 of the General Rules and Regulations under the Exchange Act.</w:t>
      </w:r>
    </w:p>
    <w:p>
      <w:pPr>
        <w:pStyle w:val="BodyTextFirstIndent"/>
        <w:rPr/>
      </w:pPr>
      <w:r>
        <w:rPr>
          <w:rFonts w:eastAsia="MS Mincho;ＭＳ 明朝"/>
        </w:rPr>
        <w:t>"</w:t>
      </w:r>
      <w:r>
        <w:rPr>
          <w:rFonts w:eastAsia="MS Mincho;ＭＳ 明朝"/>
          <w:u w:val="single"/>
        </w:rPr>
        <w:t>All-Requirements Service</w:t>
      </w:r>
      <w:r>
        <w:rPr>
          <w:rFonts w:eastAsia="MS Mincho;ＭＳ 明朝"/>
        </w:rPr>
        <w:t xml:space="preserve">" means </w:t>
      </w:r>
      <w:r>
        <w:rPr/>
        <w:t>all</w:t>
        <w:noBreakHyphen/>
        <w:t>requirements electric service, including capacity, Energy, reserves, Ancillary Services and NTAC, but not including NYPA Residential Power, necessary to provide Standard Offer Service Consumption.</w:t>
      </w:r>
    </w:p>
    <w:p>
      <w:pPr>
        <w:pStyle w:val="BodyTextFirstIndent"/>
        <w:spacing w:before="240" w:after="240"/>
        <w:rPr/>
      </w:pPr>
      <w:r>
        <w:rPr/>
        <w:t>"</w:t>
      </w:r>
      <w:r>
        <w:rPr>
          <w:u w:val="single"/>
        </w:rPr>
        <w:t>Amortized TCC Costs</w:t>
      </w:r>
      <w:r>
        <w:rPr/>
        <w:t>" means, for any month, the amount as specified on Schedule B attached hereto with respect to such month.</w:t>
      </w:r>
    </w:p>
    <w:p>
      <w:pPr>
        <w:pStyle w:val="BodyTextFirstIndent"/>
        <w:rPr/>
      </w:pPr>
      <w:r>
        <w:rPr/>
        <w:t>"</w:t>
      </w:r>
      <w:r>
        <w:rPr>
          <w:u w:val="single"/>
        </w:rPr>
        <w:t>Ancillary Services</w:t>
      </w:r>
      <w:r>
        <w:rPr/>
        <w:t>" means those energy services required by the NYISO to support the transmission of Power (as defined in the Purchase Agreement) from generators to loads, while maintaining reliable operation of the power system in the New York Control Area.  Ancillary Services include scheduling, system control and dispatch service, reactive supply and voltage support service, regulation and frequency response service, energy imbalance service, operating reserve service (including spinning reserve, 10-minute non-synchronized reserves and 30-minute reserves), and black start capability, and any other services designated as “Ancillary Services” in the NYISO Services Tariff.</w:t>
      </w:r>
    </w:p>
    <w:p>
      <w:pPr>
        <w:pStyle w:val="BodyTextFirstIndent"/>
        <w:rPr/>
      </w:pPr>
      <w:r>
        <w:rPr/>
        <w:t>"</w:t>
      </w:r>
      <w:r>
        <w:rPr>
          <w:u w:val="single"/>
        </w:rPr>
        <w:t>Bergen Wholesale Sales</w:t>
      </w:r>
      <w:r>
        <w:rPr/>
        <w:t>" means the wholesale sales from the Company to the Village of Bergen, New York.</w:t>
      </w:r>
    </w:p>
    <w:p>
      <w:pPr>
        <w:pStyle w:val="BodyTextFirstIndent"/>
        <w:rPr/>
      </w:pPr>
      <w:r>
        <w:rPr/>
        <w:t>"</w:t>
      </w:r>
      <w:r>
        <w:rPr>
          <w:u w:val="single"/>
        </w:rPr>
        <w:t>Bilateral Transaction</w:t>
      </w:r>
      <w:r>
        <w:rPr/>
        <w:t>" means a transaction between two or more parties for the purchase and/or sale of Installed Capacity, Energy, and/or Ancillary Services other than in the NYISO Administered Markets, as defined in Section 2.16 of the NYISO Services Tariff.</w:t>
      </w:r>
    </w:p>
    <w:p>
      <w:pPr>
        <w:pStyle w:val="BodyTextFirstIndent"/>
        <w:rPr/>
      </w:pPr>
      <w:r>
        <w:rPr/>
        <w:t>"</w:t>
      </w:r>
      <w:r>
        <w:rPr>
          <w:u w:val="single"/>
        </w:rPr>
        <w:t>Borderline Sales</w:t>
      </w:r>
      <w:r>
        <w:rPr/>
        <w:t>" means all wholesale sales of Power from the Company to any neighboring utility whereby the customer receiving electric service is located in the retail franchise of the neighboring utility but electrically interconnected to the Company.</w:t>
      </w:r>
    </w:p>
    <w:p>
      <w:pPr>
        <w:pStyle w:val="BodyTextFirstIndent"/>
        <w:rPr/>
      </w:pPr>
      <w:r>
        <w:rPr/>
        <w:t>"</w:t>
      </w:r>
      <w:r>
        <w:rPr>
          <w:u w:val="single"/>
        </w:rPr>
        <w:t>Business Day</w:t>
      </w:r>
      <w:r>
        <w:rPr/>
        <w:t>" means any day other than Saturday, Sunday and any day which is a legal holiday or a day on which banking institutions in New York, New York are authorized by law or other governmental action to close.</w:t>
      </w:r>
    </w:p>
    <w:p>
      <w:pPr>
        <w:pStyle w:val="BodyTextFirstIndent"/>
        <w:rPr/>
      </w:pPr>
      <w:r>
        <w:rPr/>
        <w:t>"</w:t>
      </w:r>
      <w:r>
        <w:rPr>
          <w:u w:val="single"/>
        </w:rPr>
        <w:t>Commencement Date of Service</w:t>
      </w:r>
      <w:r>
        <w:rPr/>
        <w:t>" means the "Commencement Date" as defined in the Purchase Agreement.</w:t>
      </w:r>
    </w:p>
    <w:p>
      <w:pPr>
        <w:pStyle w:val="BodyTextFirstIndent"/>
        <w:rPr/>
      </w:pPr>
      <w:r>
        <w:rPr/>
        <w:t>"</w:t>
      </w:r>
      <w:r>
        <w:rPr>
          <w:u w:val="single"/>
        </w:rPr>
        <w:t>Commitments</w:t>
      </w:r>
      <w:r>
        <w:rPr/>
        <w:t>" has the meaning set forth in the Purchase Agreement.</w:t>
      </w:r>
    </w:p>
    <w:p>
      <w:pPr>
        <w:pStyle w:val="BodyTextFirstIndent"/>
        <w:rPr/>
      </w:pPr>
      <w:r>
        <w:rPr/>
        <w:t>"</w:t>
      </w:r>
      <w:r>
        <w:rPr>
          <w:u w:val="single"/>
        </w:rPr>
        <w:t>Congestion Rent</w:t>
      </w:r>
      <w:r>
        <w:rPr/>
        <w:t>" means, as defined in Section 1.5d of the NYISO OATT, the opportunity cost of transmission constraints on the transmission system in the New York Control Area.</w:t>
      </w:r>
    </w:p>
    <w:p>
      <w:pPr>
        <w:pStyle w:val="BodyTextFirstIndent"/>
        <w:rPr/>
      </w:pPr>
      <w:r>
        <w:rPr/>
        <w:t>"</w:t>
      </w:r>
      <w:r>
        <w:rPr>
          <w:u w:val="single"/>
        </w:rPr>
        <w:t>Day-Ahead Market</w:t>
      </w:r>
      <w:r>
        <w:rPr/>
        <w:t>" or "</w:t>
      </w:r>
      <w:r>
        <w:rPr>
          <w:u w:val="single"/>
        </w:rPr>
        <w:t>DAM</w:t>
      </w:r>
      <w:r>
        <w:rPr/>
        <w:t>" means the NYISO-administered market in which Energy and/or Ancillary Services are scheduled and sold day-ahead, consisting of the day-ahead scheduling process, price calculations and settlements, as defined in Section 1.7d of the NYISO OATT.</w:t>
      </w:r>
    </w:p>
    <w:p>
      <w:pPr>
        <w:pStyle w:val="BodyTextFirstIndent"/>
        <w:rPr/>
      </w:pPr>
      <w:r>
        <w:rPr/>
        <w:t>“</w:t>
      </w:r>
      <w:r>
        <w:rPr>
          <w:u w:val="single"/>
        </w:rPr>
        <w:t>DAM Price Responsive Load</w:t>
      </w:r>
      <w:r>
        <w:rPr/>
        <w:t>” means any Standard Offer Service Consumption that complies with and fulfills the requirements set forth in the NYISO Services Tariff and the Tariff for reduction in consumption applicable to "DAM response programs", as defined in the Tariff and/or in PSC Case No. 00-E-2054, as amended or superseded from time to time.</w:t>
      </w:r>
    </w:p>
    <w:p>
      <w:pPr>
        <w:pStyle w:val="BodyTextFirstIndent"/>
        <w:rPr/>
      </w:pPr>
      <w:r>
        <w:rPr>
          <w:b/>
          <w:i/>
        </w:rPr>
        <w:t>[Retain pursuant to Bid Options 1a, 1b and 1c; delete pursuant to Bid Options 2a, 2b and 2c—</w:t>
      </w:r>
      <w:r>
        <w:rPr/>
        <w:t>“</w:t>
      </w:r>
      <w:r>
        <w:rPr>
          <w:u w:val="single"/>
        </w:rPr>
        <w:t>Delivery Charge Adjustment” or “DCA”</w:t>
      </w:r>
      <w:r>
        <w:rPr/>
        <w:t xml:space="preserve"> means an adjustment by the Company to rates for Standard Offer Service customers, whether served by the Company or an ESCo, to provide a full or partial hedge to market prices.]</w:t>
      </w:r>
    </w:p>
    <w:p>
      <w:pPr>
        <w:pStyle w:val="BodyTextFirstIndent"/>
        <w:rPr/>
      </w:pPr>
      <w:r>
        <w:rPr/>
        <w:t>"</w:t>
      </w:r>
      <w:r>
        <w:rPr>
          <w:u w:val="single"/>
        </w:rPr>
        <w:t>EHV Rate Load</w:t>
      </w:r>
      <w:r>
        <w:rPr/>
        <w:t xml:space="preserve">" means (i) prior to January 1, 2004, the Standard Offer Service Counterparty Load and (ii) thereafter, the hourly load in megawatts per hour as set forth on Schedule E. </w:t>
      </w:r>
    </w:p>
    <w:p>
      <w:pPr>
        <w:pStyle w:val="BodyTextFirstIndent"/>
        <w:rPr/>
      </w:pPr>
      <w:r>
        <w:rPr/>
        <w:t>“</w:t>
      </w:r>
      <w:r>
        <w:rPr>
          <w:u w:val="single"/>
        </w:rPr>
        <w:t>Emergency Price Responsive Load</w:t>
      </w:r>
      <w:r>
        <w:rPr/>
        <w:t xml:space="preserve">” means any Standard Offer Service Consumption that complies with and fulfills the requirements set forth in the NYISO Services Tariff and the Tariff for reduction in consumption applicable to "emergency response programs", as defined in the Tariff and/or in PSC Case No. 00-E-2054, as amended or superseded from time to time. </w:t>
      </w:r>
    </w:p>
    <w:p>
      <w:pPr>
        <w:pStyle w:val="BodyTextFirstIndent"/>
        <w:rPr/>
      </w:pPr>
      <w:r>
        <w:rPr/>
        <w:t>"</w:t>
      </w:r>
      <w:r>
        <w:rPr>
          <w:u w:val="single"/>
        </w:rPr>
        <w:t>Energy</w:t>
      </w:r>
      <w:r>
        <w:rPr/>
        <w:t>" means a quantity of electricity that is bid, produced, consumed, sold, or transmitted, as the context may require, over a period of time, and measured or calculated in megawatt hours (MWh).</w:t>
      </w:r>
    </w:p>
    <w:p>
      <w:pPr>
        <w:pStyle w:val="BodyTextFirstIndent"/>
        <w:rPr/>
      </w:pPr>
      <w:r>
        <w:rPr/>
        <w:t>“</w:t>
      </w:r>
      <w:r>
        <w:rPr>
          <w:u w:val="single"/>
        </w:rPr>
        <w:t>ESCo</w:t>
      </w:r>
      <w:r>
        <w:rPr/>
        <w:t>” has the meaning set forth in the Tariff.</w:t>
      </w:r>
    </w:p>
    <w:p>
      <w:pPr>
        <w:pStyle w:val="BodyTextFirstIndent"/>
        <w:rPr/>
      </w:pPr>
      <w:r>
        <w:rPr>
          <w:b/>
          <w:i/>
        </w:rPr>
        <w:t xml:space="preserve">[Retain pursuant to Bid Options 1a, 1b and 1c; delete pursuant to Bid Options 2a, 2b and 2c— </w:t>
      </w:r>
      <w:r>
        <w:rPr/>
        <w:t>"</w:t>
      </w:r>
      <w:r>
        <w:rPr>
          <w:u w:val="single"/>
        </w:rPr>
        <w:t>ESCo Standard Offer Service Load</w:t>
      </w:r>
      <w:r>
        <w:rPr/>
        <w:t>" or "</w:t>
      </w:r>
      <w:r>
        <w:rPr>
          <w:u w:val="single"/>
        </w:rPr>
        <w:t>ESCo SOS Load</w:t>
      </w:r>
      <w:r>
        <w:rPr/>
        <w:t xml:space="preserve">" means, for each hour and each respective SubZone, (a) the kilowatt hours assessed by the NYISO to ESCos serving load pursuant to the Tariff to customers which qualify for, elected  and receive a DCA, including thermal losses and allocated unaccounted energy as described in Rule 39.18.5 of the Tariff, where such kilowatt hours assessed by the NYISO are determined by metered customer use per hour by SubZone (or in accordance with the Tariff whereby load shapes are used) and corrected by NYISO True-Ups.] </w:t>
      </w:r>
    </w:p>
    <w:p>
      <w:pPr>
        <w:pStyle w:val="BodyTextFirstIndent"/>
        <w:rPr/>
      </w:pPr>
      <w:r>
        <w:rPr>
          <w:rFonts w:eastAsia="MS Mincho;ＭＳ 明朝"/>
        </w:rPr>
        <w:t>"</w:t>
      </w:r>
      <w:r>
        <w:rPr>
          <w:rFonts w:eastAsia="MS Mincho;ＭＳ 明朝"/>
          <w:u w:val="single"/>
        </w:rPr>
        <w:t>Exchange Act</w:t>
      </w:r>
      <w:r>
        <w:rPr>
          <w:rFonts w:eastAsia="MS Mincho;ＭＳ 明朝"/>
        </w:rPr>
        <w:t>" means the Securities Exchange Act of 1934, as amended.</w:t>
      </w:r>
    </w:p>
    <w:p>
      <w:pPr>
        <w:pStyle w:val="BodyTextFirstIndent"/>
        <w:rPr/>
      </w:pPr>
      <w:r>
        <w:rPr/>
        <w:t>"</w:t>
      </w:r>
      <w:r>
        <w:rPr>
          <w:u w:val="single"/>
        </w:rPr>
        <w:t>FERC</w:t>
      </w:r>
      <w:r>
        <w:rPr/>
        <w:t>" means the Federal Energy Regulatory Commission.</w:t>
      </w:r>
    </w:p>
    <w:p>
      <w:pPr>
        <w:pStyle w:val="BodyTextFirstIndent"/>
        <w:rPr/>
      </w:pPr>
      <w:r>
        <w:rPr/>
        <w:t>"</w:t>
      </w:r>
      <w:r>
        <w:rPr>
          <w:u w:val="single"/>
        </w:rPr>
        <w:t>Governmental Authority</w:t>
      </w:r>
      <w:r>
        <w:rPr/>
        <w:t>" means any federal, state, local or other governmental regulatory or administrative agency, taxing authority, commission, department, board or other governmental subdivision, court, tribunal, arbitrating body or other governmental authority.</w:t>
      </w:r>
    </w:p>
    <w:p>
      <w:pPr>
        <w:pStyle w:val="BodyTextFirstIndent"/>
        <w:rPr/>
      </w:pPr>
      <w:r>
        <w:rPr/>
        <w:t>"</w:t>
      </w:r>
      <w:r>
        <w:rPr>
          <w:u w:val="single"/>
        </w:rPr>
        <w:t>Installed Capacity</w:t>
      </w:r>
      <w:r>
        <w:rPr/>
        <w:t>" means a generator or load facility that complies with the requirements of the Reliability Rules and is capable of supplying and/or reducing the demand for Energy in the New York Control Area for the purpose of ensuring that sufficient Energy and capacity are available.</w:t>
      </w:r>
    </w:p>
    <w:p>
      <w:pPr>
        <w:pStyle w:val="BodyTextFirstIndent"/>
        <w:rPr/>
      </w:pPr>
      <w:r>
        <w:rPr/>
        <w:t>“</w:t>
      </w:r>
      <w:r>
        <w:rPr>
          <w:u w:val="single"/>
        </w:rPr>
        <w:t>Installed Capacity Requirement</w:t>
      </w:r>
      <w:r>
        <w:rPr/>
        <w:t>” means the obligation to provide Installed Capacity, including any applicable reserves, as established by the New York Reliability Counsel and applied or implemented through the NYISO OATT or the NYISO Services Tariff.</w:t>
      </w:r>
    </w:p>
    <w:p>
      <w:pPr>
        <w:pStyle w:val="BodyTextFirstIndent"/>
        <w:rPr/>
      </w:pPr>
      <w:r>
        <w:rPr/>
        <w:t>"</w:t>
      </w:r>
      <w:r>
        <w:rPr>
          <w:u w:val="single"/>
        </w:rPr>
        <w:t>Interest Rate</w:t>
      </w:r>
      <w:r>
        <w:rPr/>
        <w:t>" means the lesser of (i) the per annum rate of interest equal to the base rate then in effect at the main office of Citibank, N.A., or such other lending institution as may be mutually agreed upon by the Parties, and (ii) the maximum rate permitted by law.</w:t>
      </w:r>
    </w:p>
    <w:p>
      <w:pPr>
        <w:pStyle w:val="BodyTextFirstIndent"/>
        <w:rPr/>
      </w:pPr>
      <w:r>
        <w:rPr/>
        <w:t>“</w:t>
      </w:r>
      <w:r>
        <w:rPr>
          <w:u w:val="single"/>
        </w:rPr>
        <w:t>LBMP</w:t>
      </w:r>
      <w:r>
        <w:rPr/>
        <w:t>” means Locational Based Market Price, as calculated by the NYISO.</w:t>
      </w:r>
    </w:p>
    <w:p>
      <w:pPr>
        <w:pStyle w:val="BodyTextFirstIndent"/>
        <w:rPr/>
      </w:pPr>
      <w:r>
        <w:rPr/>
        <w:t>“</w:t>
      </w:r>
      <w:r>
        <w:rPr>
          <w:u w:val="single"/>
        </w:rPr>
        <w:t>LBMCP</w:t>
      </w:r>
      <w:r>
        <w:rPr/>
        <w:t>” means Locational Based Market Capacity Price, as defined in the Tariff.</w:t>
      </w:r>
    </w:p>
    <w:p>
      <w:pPr>
        <w:pStyle w:val="BodyTextFirstIndent"/>
        <w:rPr/>
      </w:pPr>
      <w:r>
        <w:rPr/>
        <w:t>"</w:t>
      </w:r>
      <w:r>
        <w:rPr>
          <w:u w:val="single"/>
        </w:rPr>
        <w:t>Load</w:t>
      </w:r>
      <w:r>
        <w:rPr/>
        <w:t>" means the amount of electrical output that is required to meet customer consumption, plus thermal losses and unallocated losses.</w:t>
      </w:r>
    </w:p>
    <w:p>
      <w:pPr>
        <w:pStyle w:val="BodyTextFirstIndent"/>
        <w:rPr>
          <w:b/>
        </w:rPr>
      </w:pPr>
      <w:r>
        <w:rPr/>
        <w:t>"</w:t>
      </w:r>
      <w:r>
        <w:rPr>
          <w:u w:val="single"/>
        </w:rPr>
        <w:t>Load Modifier</w:t>
      </w:r>
      <w:r>
        <w:rPr/>
        <w:t>" means the eligible generation resources, including Small OSG, in each of the Company’s SubZones that are used to reduce NYISO-related charges and costs associated with the provision of Standard Offer Service Consumption.</w:t>
      </w:r>
    </w:p>
    <w:p>
      <w:pPr>
        <w:pStyle w:val="BodyTextFirstIndent"/>
        <w:rPr/>
      </w:pPr>
      <w:r>
        <w:rPr/>
        <w:t>"</w:t>
      </w:r>
      <w:r>
        <w:rPr>
          <w:u w:val="single"/>
        </w:rPr>
        <w:t>LSE</w:t>
      </w:r>
      <w:r>
        <w:rPr/>
        <w:t>" means Load Serving Entity, as defined in the NYISO Services Tariff and NYISO OATT.</w:t>
      </w:r>
    </w:p>
    <w:p>
      <w:pPr>
        <w:pStyle w:val="Normal"/>
        <w:tabs>
          <w:tab w:val="clear" w:pos="720"/>
          <w:tab w:val="left" w:pos="-1440" w:leader="none"/>
        </w:tabs>
        <w:ind w:firstLine="1440" w:end="0"/>
        <w:jc w:val="both"/>
        <w:rPr/>
      </w:pPr>
      <w:r>
        <w:rPr/>
        <w:t>“</w:t>
      </w:r>
      <w:r>
        <w:rPr>
          <w:u w:val="single"/>
        </w:rPr>
        <w:t>Market Price</w:t>
      </w:r>
      <w:r>
        <w:rPr/>
        <w:t>” means, for each hour and Subzone, the sum of (i) the Day-Ahead Market LBMP in dollars per megawatt hour ($/MWh), plus (ii) for each “on-peak hour” (as defined in the Tariff), (A) the product of (x) the LBMCP in dollars per kilowatt month ($/kW-mo) times (y) the sum of one plus the Installed Capacity Requirement of the NYISO, divided by (B) on-peak hours of the respective month divided by (C) the kilowatt hour-weighted average Standard Offer Service load factor where the class load factor is as approved by the PSC for the applicable six-month “Capability Period” (as defined in the NYISO Services Tariff).</w:t>
      </w:r>
    </w:p>
    <w:p>
      <w:pPr>
        <w:pStyle w:val="Normal"/>
        <w:tabs>
          <w:tab w:val="clear" w:pos="720"/>
          <w:tab w:val="left" w:pos="-1440" w:leader="none"/>
        </w:tabs>
        <w:ind w:firstLine="1440" w:end="0"/>
        <w:jc w:val="both"/>
        <w:rPr/>
      </w:pPr>
      <w:r>
        <w:rPr/>
        <w:t>“</w:t>
      </w:r>
      <w:r>
        <w:rPr>
          <w:u w:val="single"/>
        </w:rPr>
        <w:t>Market Price Load</w:t>
      </w:r>
      <w:r>
        <w:rPr/>
        <w:t>” means, for each hour, (i) prior to January 1, 2004, zero, and (ii) thereafter, the greater  of (A) zero and (B) (I) the load equal to (x) the Preliminary Standard Offer Service Counterparty Load or (y) the Standard Offer Service Counterparty Load, as applicable, minus (II) the EHV Rate Load.</w:t>
      </w:r>
    </w:p>
    <w:p>
      <w:pPr>
        <w:pStyle w:val="BodyTextFirstIndent"/>
        <w:rPr/>
      </w:pPr>
      <w:r>
        <w:rPr/>
        <w:t>"</w:t>
      </w:r>
      <w:r>
        <w:rPr>
          <w:u w:val="single"/>
        </w:rPr>
        <w:t>Material Adverse Effect</w:t>
      </w:r>
      <w:r>
        <w:rPr/>
        <w:t xml:space="preserve">" means, with respect to any Person, any change in or effect on such Person after the date of this Agreement that is materially adverse to the transactions contemplated hereby, other than (a) any change or effect resulting from changes in the international, national, regional or local wholesale or retail markets for electric power; (b) any change or effect resulting from changes in the international, national, regional or local markets for any fuel (including the availability of water) used at any of the facilities providing Power under one or more of the Commitments (each as defined in the Purchase Agreement); (c) any change or effect resulting from changes in the North American, national, regional or local electric transmission or distribution systems and (d) any change or effect resulting from any action or inaction by a Governmental Authority, but in any such case not affecting the parties or the transactions contemplated hereby in any manner or degree significantly different from others in the industry as a whole. </w:t>
      </w:r>
    </w:p>
    <w:p>
      <w:pPr>
        <w:pStyle w:val="BodyTextFirstIndent"/>
        <w:rPr/>
      </w:pPr>
      <w:r>
        <w:rPr/>
        <w:t>"</w:t>
      </w:r>
      <w:r>
        <w:rPr>
          <w:u w:val="single"/>
        </w:rPr>
        <w:t>Meters</w:t>
      </w:r>
      <w:r>
        <w:rPr/>
        <w:t>" means those meters owned by the Company or approved or authorized by the Company for use in place of Company-owned meters in accordance with the Tariff.</w:t>
      </w:r>
    </w:p>
    <w:p>
      <w:pPr>
        <w:pStyle w:val="BodyTextFirstIndent"/>
        <w:rPr/>
      </w:pPr>
      <w:r>
        <w:rPr/>
        <w:t>“</w:t>
      </w:r>
      <w:r>
        <w:rPr>
          <w:u w:val="single"/>
        </w:rPr>
        <w:t>Negawatt Payment</w:t>
      </w:r>
      <w:r>
        <w:rPr/>
        <w:t>” means the portion of any payment by the NYISO to Supplier as LSE under the NYISO Services Tariff and the Tariff for Emergency Price Responsive Load and/or DAM Price Responsive Load that is attributable to any Standard Offer Service customer.</w:t>
      </w:r>
    </w:p>
    <w:p>
      <w:pPr>
        <w:pStyle w:val="BodyTextFirstIndent"/>
        <w:rPr/>
      </w:pPr>
      <w:r>
        <w:rPr/>
        <w:t>"</w:t>
      </w:r>
      <w:r>
        <w:rPr>
          <w:u w:val="single"/>
        </w:rPr>
        <w:t>New York Control Area</w:t>
      </w:r>
      <w:r>
        <w:rPr/>
        <w:t>" has the meaning set forth in Section 1.13 of the NYISO Services Tariff.</w:t>
      </w:r>
    </w:p>
    <w:p>
      <w:pPr>
        <w:pStyle w:val="BodyTextFirstIndent"/>
        <w:rPr/>
      </w:pPr>
      <w:r>
        <w:rPr/>
        <w:t>"</w:t>
      </w:r>
      <w:r>
        <w:rPr>
          <w:u w:val="single"/>
        </w:rPr>
        <w:t>NTAC</w:t>
      </w:r>
      <w:r>
        <w:rPr/>
        <w:t>" means the New York Power Authority Transmission Adjustment Charge, as defined in the NYISO OATT.</w:t>
      </w:r>
    </w:p>
    <w:p>
      <w:pPr>
        <w:pStyle w:val="BodyTextFirstIndent"/>
        <w:rPr>
          <w:b/>
        </w:rPr>
      </w:pPr>
      <w:r>
        <w:rPr/>
        <w:t>"</w:t>
      </w:r>
      <w:r>
        <w:rPr>
          <w:u w:val="single"/>
        </w:rPr>
        <w:t>NYISO</w:t>
      </w:r>
      <w:r>
        <w:rPr/>
        <w:t>" means New York Independent System Operator, an organization formed in accordance with FERC orders to administer the operation of, to provide equal and open access to, and to maintain the system reliability of the bulk-power transmission system of the NYCA, or any successor thereto.</w:t>
      </w:r>
    </w:p>
    <w:p>
      <w:pPr>
        <w:pStyle w:val="BodyTextFirstIndent"/>
        <w:rPr/>
      </w:pPr>
      <w:r>
        <w:rPr/>
        <w:t>"</w:t>
      </w:r>
      <w:r>
        <w:rPr>
          <w:u w:val="single"/>
        </w:rPr>
        <w:t>NYISO OATT</w:t>
      </w:r>
      <w:r>
        <w:rPr/>
        <w:t>" means the New York Independent System Operator Open Access Transmission Tariff, revised as of December 27, 1999, as amended or superseded from time to time.</w:t>
      </w:r>
    </w:p>
    <w:p>
      <w:pPr>
        <w:pStyle w:val="BodyTextFirstIndent"/>
        <w:rPr/>
      </w:pPr>
      <w:r>
        <w:rPr/>
        <w:t>“</w:t>
      </w:r>
      <w:r>
        <w:rPr>
          <w:u w:val="single"/>
        </w:rPr>
        <w:t>NYISO Price Responsive Load Program</w:t>
      </w:r>
      <w:r>
        <w:rPr/>
        <w:t>” has the meaning set forth in the NYISO Services Tariff and the Tariff.</w:t>
      </w:r>
    </w:p>
    <w:p>
      <w:pPr>
        <w:pStyle w:val="BodyTextFirstIndent"/>
        <w:rPr/>
      </w:pPr>
      <w:r>
        <w:rPr/>
        <w:t>"</w:t>
      </w:r>
      <w:r>
        <w:rPr>
          <w:u w:val="single"/>
        </w:rPr>
        <w:t>NYISO Services Tariff</w:t>
      </w:r>
      <w:r>
        <w:rPr/>
        <w:t>" means the New York Independent System Operator Market Administration and Control Area Services Tariff, revised as of November 17, 1999, as amended or superseded from time to time.</w:t>
      </w:r>
    </w:p>
    <w:p>
      <w:pPr>
        <w:pStyle w:val="BodyTextFirstIndent"/>
        <w:rPr/>
      </w:pPr>
      <w:r>
        <w:rPr/>
        <w:t>"</w:t>
      </w:r>
      <w:r>
        <w:rPr>
          <w:u w:val="single"/>
        </w:rPr>
        <w:t>NYISO True-Up</w:t>
      </w:r>
      <w:r>
        <w:rPr/>
        <w:t>" means the three-month, six-month, twelve-month and two-year corrections issued through the NYISO billing and settlement procedures, including any applicable interest charged or assessed by the NYISO.</w:t>
      </w:r>
    </w:p>
    <w:p>
      <w:pPr>
        <w:pStyle w:val="BodyTextFirstIndent"/>
        <w:rPr/>
      </w:pPr>
      <w:r>
        <w:rPr/>
        <w:t>"</w:t>
      </w:r>
      <w:r>
        <w:rPr>
          <w:u w:val="single"/>
        </w:rPr>
        <w:t>NYPA</w:t>
      </w:r>
      <w:r>
        <w:rPr/>
        <w:t>" means the New York Power Authority.</w:t>
      </w:r>
    </w:p>
    <w:p>
      <w:pPr>
        <w:pStyle w:val="BodyTextFirstIndent"/>
        <w:rPr/>
      </w:pPr>
      <w:r>
        <w:rPr/>
        <w:t>"</w:t>
      </w:r>
      <w:r>
        <w:rPr>
          <w:u w:val="single"/>
        </w:rPr>
        <w:t>NYPA Economic Development Power</w:t>
      </w:r>
      <w:r>
        <w:rPr/>
        <w:t>" or "</w:t>
      </w:r>
      <w:r>
        <w:rPr>
          <w:u w:val="single"/>
        </w:rPr>
        <w:t>NYPA EDP</w:t>
      </w:r>
      <w:r>
        <w:rPr/>
        <w:t>" means Power provided to the Company under the NYPA Economic Development Power Program.</w:t>
      </w:r>
    </w:p>
    <w:p>
      <w:pPr>
        <w:pStyle w:val="BodyTextFirstIndent"/>
        <w:rPr/>
      </w:pPr>
      <w:r>
        <w:rPr/>
        <w:t>"</w:t>
      </w:r>
      <w:r>
        <w:rPr>
          <w:u w:val="single"/>
        </w:rPr>
        <w:t>NYPA Expansion Power</w:t>
      </w:r>
      <w:r>
        <w:rPr/>
        <w:t>" means Power provided to the Company under the NYPA Expansion Power Program.</w:t>
      </w:r>
    </w:p>
    <w:p>
      <w:pPr>
        <w:pStyle w:val="BodyTextFirstIndent"/>
        <w:rPr/>
      </w:pPr>
      <w:r>
        <w:rPr/>
        <w:t>"</w:t>
      </w:r>
      <w:r>
        <w:rPr>
          <w:u w:val="single"/>
        </w:rPr>
        <w:t>NYPA Niagara Peaking</w:t>
      </w:r>
      <w:r>
        <w:rPr/>
        <w:t>" means the supply of power from the NYPA Niagara facility, as defined in the NYPA hydro allocations.</w:t>
      </w:r>
    </w:p>
    <w:p>
      <w:pPr>
        <w:pStyle w:val="BodyTextFirstIndent"/>
        <w:rPr/>
      </w:pPr>
      <w:r>
        <w:rPr/>
        <w:t>"</w:t>
      </w:r>
      <w:r>
        <w:rPr>
          <w:u w:val="single"/>
        </w:rPr>
        <w:t>NYPA Non-Residential Power</w:t>
      </w:r>
      <w:r>
        <w:rPr/>
        <w:t>" means the deliveries of kilowatt-hours of NYPA PFJ, NYPA EDP, NYPA Expansion Power and NYPA Replacement Power.</w:t>
      </w:r>
    </w:p>
    <w:p>
      <w:pPr>
        <w:pStyle w:val="BodyTextFirstIndent"/>
        <w:rPr/>
      </w:pPr>
      <w:r>
        <w:rPr/>
        <w:t>"</w:t>
      </w:r>
      <w:r>
        <w:rPr>
          <w:u w:val="single"/>
        </w:rPr>
        <w:t>NYPA Power for Jobs</w:t>
      </w:r>
      <w:r>
        <w:rPr/>
        <w:t>" or "</w:t>
      </w:r>
      <w:r>
        <w:rPr>
          <w:u w:val="single"/>
        </w:rPr>
        <w:t>NYPA PFJ</w:t>
      </w:r>
      <w:r>
        <w:rPr/>
        <w:t>" means Power provided to the Company's customers under the NYPA Power for Jobs Program.</w:t>
      </w:r>
    </w:p>
    <w:p>
      <w:pPr>
        <w:pStyle w:val="BodyTextFirstIndent"/>
        <w:rPr/>
      </w:pPr>
      <w:r>
        <w:rPr/>
        <w:t>"</w:t>
      </w:r>
      <w:r>
        <w:rPr>
          <w:u w:val="single"/>
        </w:rPr>
        <w:t>NYPA Purchase for Resale Power</w:t>
      </w:r>
      <w:r>
        <w:rPr/>
        <w:t>" means the deliveries of kilowatt-hours from NYPA PFJ, NYPA EDP, NYPA Expansion Power and NYPA Replacement Power, minus NYPA Residual Residential Replacement Power.</w:t>
      </w:r>
    </w:p>
    <w:p>
      <w:pPr>
        <w:pStyle w:val="BodyTextFirstIndent"/>
        <w:rPr/>
      </w:pPr>
      <w:r>
        <w:rPr/>
        <w:t>"</w:t>
      </w:r>
      <w:r>
        <w:rPr>
          <w:u w:val="single"/>
        </w:rPr>
        <w:t>NYPA Replacement Power</w:t>
      </w:r>
      <w:r>
        <w:rPr/>
        <w:t>" means Power provided to the Company under the NYPA Replacement Power Program.</w:t>
      </w:r>
    </w:p>
    <w:p>
      <w:pPr>
        <w:pStyle w:val="BodyTextFirstIndent"/>
        <w:rPr/>
      </w:pPr>
      <w:r>
        <w:rPr/>
        <w:t>"</w:t>
      </w:r>
      <w:r>
        <w:rPr>
          <w:u w:val="single"/>
        </w:rPr>
        <w:t>NYPA Residential Power</w:t>
      </w:r>
      <w:r>
        <w:rPr/>
        <w:t>" means Power provided to the Company under St. Lawrence Firm, Niagara Firm, Niagara Peaking, and NYPA Residual Residential Replacement Power.</w:t>
      </w:r>
    </w:p>
    <w:p>
      <w:pPr>
        <w:pStyle w:val="BodyTextFirstIndent"/>
        <w:rPr/>
      </w:pPr>
      <w:r>
        <w:rPr/>
        <w:t>"</w:t>
      </w:r>
      <w:r>
        <w:rPr>
          <w:u w:val="single"/>
        </w:rPr>
        <w:t>NYPA Residual Residential Replacement Power</w:t>
      </w:r>
      <w:r>
        <w:rPr/>
        <w:t>" means that residual NYPA Replacement Power that is not allocated to and consumed by industrial customers identified by NYPA in accordance with the NYPA regulations and is allocated to the Company’s residential customers.</w:t>
      </w:r>
    </w:p>
    <w:p>
      <w:pPr>
        <w:pStyle w:val="BodyTextFirstIndent"/>
        <w:rPr/>
      </w:pPr>
      <w:r>
        <w:rPr/>
        <w:t>"</w:t>
      </w:r>
      <w:r>
        <w:rPr>
          <w:u w:val="single"/>
        </w:rPr>
        <w:t>Party</w:t>
      </w:r>
      <w:r>
        <w:rPr/>
        <w:t>" or "</w:t>
      </w:r>
      <w:r>
        <w:rPr>
          <w:u w:val="single"/>
        </w:rPr>
        <w:t>Parties</w:t>
      </w:r>
      <w:r>
        <w:rPr/>
        <w:t>" means the Supplier and the Company and their respective successors and assigns.</w:t>
      </w:r>
    </w:p>
    <w:p>
      <w:pPr>
        <w:pStyle w:val="BodyTextFirstIndent"/>
        <w:rPr/>
      </w:pPr>
      <w:r>
        <w:rPr/>
        <w:t>"</w:t>
      </w:r>
      <w:r>
        <w:rPr>
          <w:u w:val="single"/>
        </w:rPr>
        <w:t>Person</w:t>
      </w:r>
      <w:r>
        <w:rPr/>
        <w:t>" means any individual, a partnership, a limited liability company, a joint venture, a corporation, a trust, an unincorporated organization and a governmental entity or any department or agency thereof.</w:t>
      </w:r>
    </w:p>
    <w:p>
      <w:pPr>
        <w:pStyle w:val="BodyTextFirstIndent"/>
        <w:rPr/>
      </w:pPr>
      <w:r>
        <w:rPr/>
        <w:t>"</w:t>
      </w:r>
      <w:r>
        <w:rPr>
          <w:u w:val="single"/>
        </w:rPr>
        <w:t>POI</w:t>
      </w:r>
      <w:r>
        <w:rPr/>
        <w:t>" means point of injection as defined in Section 1.33a of the NYISO OATT.</w:t>
      </w:r>
    </w:p>
    <w:p>
      <w:pPr>
        <w:pStyle w:val="BodyTextFirstIndent"/>
        <w:rPr/>
      </w:pPr>
      <w:r>
        <w:rPr/>
        <w:t>"</w:t>
      </w:r>
      <w:r>
        <w:rPr>
          <w:u w:val="single"/>
        </w:rPr>
        <w:t>POW</w:t>
      </w:r>
      <w:r>
        <w:rPr/>
        <w:t>" means point of withdrawal as defined in Section 1.34a of the NYISO OATT.</w:t>
      </w:r>
    </w:p>
    <w:p>
      <w:pPr>
        <w:pStyle w:val="BodyTextFirstIndent"/>
        <w:rPr/>
      </w:pPr>
      <w:r>
        <w:rPr/>
        <w:t>"</w:t>
      </w:r>
      <w:r>
        <w:rPr>
          <w:u w:val="single"/>
        </w:rPr>
        <w:t>Power</w:t>
      </w:r>
      <w:r>
        <w:rPr/>
        <w:t>" means all capacity, Energy and Ancillary Services, if any.</w:t>
      </w:r>
    </w:p>
    <w:p>
      <w:pPr>
        <w:pStyle w:val="BodyTextFirstIndent"/>
        <w:rPr>
          <w:b/>
        </w:rPr>
      </w:pPr>
      <w:r>
        <w:rPr>
          <w:b/>
          <w:i/>
        </w:rPr>
        <w:t>[Retain pursuant to Bid Options 1a, 1b and 1c; delete pursuant to Bid Options 2a, 2b and 2c—</w:t>
      </w:r>
      <w:r>
        <w:rPr/>
        <w:t xml:space="preserve"> “</w:t>
      </w:r>
      <w:r>
        <w:rPr>
          <w:u w:val="single"/>
        </w:rPr>
        <w:t>Preliminary ESCo Standard Offer Service Load</w:t>
      </w:r>
      <w:r>
        <w:rPr/>
        <w:t>" means, for each hour and each respective SubZone, the kilowatt hours assessed to ESCos serving load pursuant to the Tariff to customers which qualify for, elected and receive the DCA.]</w:t>
      </w:r>
    </w:p>
    <w:p>
      <w:pPr>
        <w:pStyle w:val="BodyTextFirstIndent"/>
        <w:rPr>
          <w:b/>
        </w:rPr>
      </w:pPr>
      <w:r>
        <w:rPr/>
        <w:t>"</w:t>
      </w:r>
      <w:r>
        <w:rPr>
          <w:u w:val="single"/>
        </w:rPr>
        <w:t>Preliminary Standard Offer Service Counterparty Load</w:t>
      </w:r>
      <w:r>
        <w:rPr/>
        <w:t>" means for each hour and each respective SubZone, (a) the kilowatt-hours assessed to Supplier by the NYISO to meet the Standard Offer Service Consumption plus (b) Load Modifiers, minus (c) for the respective SubZones in which any NYPA Residential Power is located, the NYPA Residential Power, minus (d) Small OSG.</w:t>
      </w:r>
    </w:p>
    <w:p>
      <w:pPr>
        <w:pStyle w:val="BodyTextFirstIndent"/>
        <w:rPr/>
      </w:pPr>
      <w:r>
        <w:rPr/>
        <w:t>"</w:t>
      </w:r>
      <w:r>
        <w:rPr>
          <w:u w:val="single"/>
        </w:rPr>
        <w:t>Price</w:t>
      </w:r>
      <w:r>
        <w:rPr/>
        <w:t xml:space="preserve">" has the meaning set forth in Article 5.  </w:t>
      </w:r>
    </w:p>
    <w:p>
      <w:pPr>
        <w:pStyle w:val="BodyTextFirstIndent"/>
        <w:rPr/>
      </w:pPr>
      <w:r>
        <w:rPr/>
        <w:t>“</w:t>
      </w:r>
      <w:r>
        <w:rPr>
          <w:u w:val="single"/>
        </w:rPr>
        <w:t>Price Responsive Load</w:t>
      </w:r>
      <w:r>
        <w:rPr/>
        <w:t>” means any Standard Offer Service Consumption that complies with and fulfills the requirements set forth in the NYISO Services Tariff and the Tariff for reduction in consumption applicable to "emergency response programs" and/or "DAM response programs" and/or "voluntary response programs", in each case as defined in the Tariff and/or in PSC Case No. 00-E-2054, as amended or superseded from time to time.</w:t>
      </w:r>
    </w:p>
    <w:p>
      <w:pPr>
        <w:pStyle w:val="BodyTextFirstIndent"/>
        <w:rPr/>
      </w:pPr>
      <w:r>
        <w:rPr/>
        <w:t>"</w:t>
      </w:r>
      <w:r>
        <w:rPr>
          <w:u w:val="single"/>
        </w:rPr>
        <w:t>PSC</w:t>
      </w:r>
      <w:r>
        <w:rPr/>
        <w:t>" means the New York State Public Service Commission.</w:t>
      </w:r>
    </w:p>
    <w:p>
      <w:pPr>
        <w:pStyle w:val="BodyTextFirstIndent"/>
        <w:rPr/>
      </w:pPr>
      <w:r>
        <w:rPr/>
        <w:t>"</w:t>
      </w:r>
      <w:r>
        <w:rPr>
          <w:u w:val="single"/>
        </w:rPr>
        <w:t>PURPA</w:t>
      </w:r>
      <w:r>
        <w:rPr/>
        <w:t>" means the Public Utility Regulatory Policies Act of 1978, as amended.</w:t>
      </w:r>
    </w:p>
    <w:p>
      <w:pPr>
        <w:pStyle w:val="BodyTextFirstIndent"/>
        <w:rPr/>
      </w:pPr>
      <w:r>
        <w:rPr/>
        <w:t>"</w:t>
      </w:r>
      <w:r>
        <w:rPr>
          <w:u w:val="single"/>
        </w:rPr>
        <w:t>Rate Schedule 4 Imbalance</w:t>
      </w:r>
      <w:r>
        <w:rPr/>
        <w:t>" means the difference between the Energy actually scheduled and the Standard Offer Service Counterparty Load, determined in accordance with the NYISO Tariff Rate Schedule 4.</w:t>
      </w:r>
    </w:p>
    <w:p>
      <w:pPr>
        <w:pStyle w:val="BodyTextFirstIndent"/>
        <w:rPr/>
      </w:pPr>
      <w:r>
        <w:rPr/>
        <w:t>"</w:t>
      </w:r>
      <w:r>
        <w:rPr>
          <w:u w:val="single"/>
        </w:rPr>
        <w:t>Reliability Rules</w:t>
      </w:r>
      <w:r>
        <w:rPr/>
        <w:t>" has the meaning set forth in Section 1.13 of the NYISO OATT.</w:t>
      </w:r>
    </w:p>
    <w:p>
      <w:pPr>
        <w:pStyle w:val="BodyTextFirstIndent"/>
        <w:rPr/>
      </w:pPr>
      <w:r>
        <w:rPr/>
        <w:t>"</w:t>
      </w:r>
      <w:r>
        <w:rPr>
          <w:u w:val="single"/>
        </w:rPr>
        <w:t>Required Regulatory Approvals</w:t>
      </w:r>
      <w:r>
        <w:rPr/>
        <w:t>" means the notices, filings and approvals listed on Schedule D.</w:t>
      </w:r>
    </w:p>
    <w:p>
      <w:pPr>
        <w:pStyle w:val="BodyTextFirstIndent"/>
        <w:rPr/>
      </w:pPr>
      <w:r>
        <w:rPr/>
        <w:t>"</w:t>
      </w:r>
      <w:r>
        <w:rPr>
          <w:u w:val="single"/>
        </w:rPr>
        <w:t>Retail Delivery Point</w:t>
      </w:r>
      <w:r>
        <w:rPr/>
        <w:t>", with respect to each Standard Offer Service customer and each customer under SC-3a Option 2, has the meaning specified in the Tariff and, with respect to each customer under Borderline Sales and Bergen Wholesale Sales, has the meaning specified in the interconnection agreement applicable to such Borderline Sales or Bergen Wholesale Sales.</w:t>
      </w:r>
    </w:p>
    <w:p>
      <w:pPr>
        <w:pStyle w:val="BodyTextFirstIndent"/>
        <w:rPr/>
      </w:pPr>
      <w:r>
        <w:rPr/>
        <w:t>"</w:t>
      </w:r>
      <w:r>
        <w:rPr>
          <w:u w:val="single"/>
        </w:rPr>
        <w:t>SC-3a Option 2</w:t>
      </w:r>
      <w:r>
        <w:rPr/>
        <w:t xml:space="preserve">" has the meaning set forth in the Tariff.  </w:t>
      </w:r>
    </w:p>
    <w:p>
      <w:pPr>
        <w:pStyle w:val="BodyTextFirstIndent"/>
        <w:rPr/>
      </w:pPr>
      <w:r>
        <w:rPr/>
        <w:t>"</w:t>
      </w:r>
      <w:r>
        <w:rPr>
          <w:u w:val="single"/>
        </w:rPr>
        <w:t>Service Class</w:t>
      </w:r>
      <w:r>
        <w:rPr/>
        <w:t>" means each class of customer in the Tariff.</w:t>
      </w:r>
    </w:p>
    <w:p>
      <w:pPr>
        <w:pStyle w:val="BodyTextFirstIndent"/>
        <w:rPr/>
      </w:pPr>
      <w:r>
        <w:rPr/>
        <w:t>"</w:t>
      </w:r>
      <w:r>
        <w:rPr>
          <w:u w:val="single"/>
        </w:rPr>
        <w:t>Small OSG</w:t>
      </w:r>
      <w:r>
        <w:rPr/>
        <w:t>" means the kilowatt-hours that the Company purchases and that are provided by on-site customer generation power sources (net metering customers pursuant to the Tariff) or generation sources with less than one (1) megawatt of capacity, other than any kilowatt-hours purchased pursuant to the Commitments.</w:t>
      </w:r>
    </w:p>
    <w:p>
      <w:pPr>
        <w:pStyle w:val="BodyTextFirstIndent"/>
        <w:rPr/>
      </w:pPr>
      <w:r>
        <w:rPr/>
        <w:t>"</w:t>
      </w:r>
      <w:r>
        <w:rPr>
          <w:u w:val="single"/>
        </w:rPr>
        <w:t>Specified Entity</w:t>
      </w:r>
      <w:r>
        <w:rPr/>
        <w:t>" means [any credit support provider pursuant to Article 7].</w:t>
      </w:r>
    </w:p>
    <w:p>
      <w:pPr>
        <w:pStyle w:val="BodyTextFirstIndent"/>
        <w:rPr/>
      </w:pPr>
      <w:r>
        <w:rPr/>
        <w:t>"</w:t>
      </w:r>
      <w:r>
        <w:rPr>
          <w:u w:val="single"/>
        </w:rPr>
        <w:t>Standard Offer Service</w:t>
      </w:r>
      <w:r>
        <w:rPr/>
        <w:t>" means all</w:t>
        <w:noBreakHyphen/>
        <w:t xml:space="preserve">requirements electric service, including capacity, energy, reserves, losses and other related services necessary to serve the Company's customers served under the Tariff’s Service Classifications SC-1, SC-1B, SC-1C, SC-2ND, SC-2D, secondary voltage level SC-3, SC-5 and PSC 214.  Effective October 1, 2004, Standard Offer Service shall exclude secondary voltage level SC-3. </w:t>
      </w:r>
    </w:p>
    <w:p>
      <w:pPr>
        <w:pStyle w:val="BodyTextFirstIndent"/>
        <w:rPr>
          <w:b/>
        </w:rPr>
      </w:pPr>
      <w:r>
        <w:rPr/>
        <w:t>"</w:t>
      </w:r>
      <w:r>
        <w:rPr>
          <w:u w:val="single"/>
        </w:rPr>
        <w:t>Standard Offer Service Consumption</w:t>
      </w:r>
      <w:r>
        <w:rPr/>
        <w:t>" means (a) the kilowatt-hours delivered by the Company (but not an ESCo) to the Retail Delivery Point of those retail customers under Standard Offer Service and customers under SC-3a Option 2, as defined in the Tariff, plus (b) kilowatt-hours associated with Borderline Sales, plus (c) Bergen Wholesale Sales.</w:t>
      </w:r>
    </w:p>
    <w:p>
      <w:pPr>
        <w:pStyle w:val="BodyTextFirstIndent"/>
        <w:rPr/>
      </w:pPr>
      <w:r>
        <w:rPr/>
        <w:t>"</w:t>
      </w:r>
      <w:r>
        <w:rPr>
          <w:u w:val="single"/>
        </w:rPr>
        <w:t>Standard Offer Service Counterparty Load</w:t>
      </w:r>
      <w:r>
        <w:rPr/>
        <w:t>" or "</w:t>
      </w:r>
      <w:r>
        <w:rPr>
          <w:u w:val="single"/>
        </w:rPr>
        <w:t>SOS Counterparty Load</w:t>
      </w:r>
      <w:r>
        <w:rPr/>
        <w:t xml:space="preserve">" means, for each hour and each respective SubZone, (a) the kilowatt-hours assessed to Supplier by the NYISO to meet the Standard Offer Service Consumption, including thermal losses and allocated unaccounted energy described in Rule 39.18.5 of the Tariff, where such kilowatt-hours assessed by the NYISO are determined by metered customer use per hour by SubZone (or in accordance with the Tariff whereby load shapes are used) and corrected by the NYISO True-Ups, plus (b) Load Modifiers, minus (c) for the respective SubZones in which any NYPA Residential Power is located, the NYPA Residential Power, minus (d) Small OSG. </w:t>
      </w:r>
    </w:p>
    <w:p>
      <w:pPr>
        <w:pStyle w:val="BodyTextFirstIndent"/>
        <w:rPr/>
      </w:pPr>
      <w:r>
        <w:rPr/>
        <w:t>"</w:t>
      </w:r>
      <w:r>
        <w:rPr>
          <w:u w:val="single"/>
        </w:rPr>
        <w:t>Standard Offer Service EHV Rate</w:t>
      </w:r>
      <w:r>
        <w:rPr/>
        <w:t>" means the stipulated stream of prices, in cents per kilowatt-hour, that will be paid to Supplier for Standard Offer Service Counterparty Load and Preliminary Standard Offer Service Counterparty Load, as set forth in Schedule A.</w:t>
      </w:r>
    </w:p>
    <w:p>
      <w:pPr>
        <w:pStyle w:val="BodyTextFirstIndent"/>
        <w:rPr/>
      </w:pPr>
      <w:r>
        <w:rPr>
          <w:rFonts w:eastAsia="MS Mincho;ＭＳ 明朝"/>
        </w:rPr>
        <w:t>"</w:t>
      </w:r>
      <w:r>
        <w:rPr>
          <w:rFonts w:eastAsia="MS Mincho;ＭＳ 明朝"/>
          <w:u w:val="single"/>
        </w:rPr>
        <w:t>Subsidiary</w:t>
      </w:r>
      <w:r>
        <w:rPr>
          <w:rFonts w:eastAsia="MS Mincho;ＭＳ 明朝"/>
        </w:rPr>
        <w:t>" means any entity of which outstanding securities having ordinary voting power to elect a majority of the board of directors or other Persons performing similar functions of such entity are owned directly or indirectly by any Person.</w:t>
      </w:r>
    </w:p>
    <w:p>
      <w:pPr>
        <w:pStyle w:val="BodyTextFirstIndent"/>
        <w:rPr/>
      </w:pPr>
      <w:r>
        <w:rPr/>
        <w:t>"</w:t>
      </w:r>
      <w:r>
        <w:rPr>
          <w:u w:val="single"/>
        </w:rPr>
        <w:t>SubZone</w:t>
      </w:r>
      <w:r>
        <w:rPr>
          <w:rFonts w:eastAsia="MS Mincho;ＭＳ 明朝"/>
        </w:rPr>
        <w:t xml:space="preserve">" means </w:t>
      </w:r>
      <w:r>
        <w:rPr/>
        <w:t>each</w:t>
      </w:r>
      <w:r>
        <w:rPr>
          <w:rFonts w:eastAsia="MS Mincho;ＭＳ 明朝"/>
        </w:rPr>
        <w:t xml:space="preserve"> of the Company’s six SubZones that are within the six respective Zones.</w:t>
      </w:r>
    </w:p>
    <w:p>
      <w:pPr>
        <w:pStyle w:val="BodyTextFirstIndent"/>
        <w:rPr/>
      </w:pPr>
      <w:r>
        <w:rPr/>
        <w:t>"</w:t>
      </w:r>
      <w:r>
        <w:rPr>
          <w:rFonts w:eastAsia="MS Mincho;ＭＳ 明朝"/>
          <w:u w:val="single"/>
        </w:rPr>
        <w:t>SubZone Corporate Load</w:t>
      </w:r>
      <w:r>
        <w:rPr>
          <w:rFonts w:eastAsia="MS Mincho;ＭＳ 明朝"/>
        </w:rPr>
        <w:t>" means the Company's calculation of its Energy Load at the electric high voltage level in each SubZone.</w:t>
      </w:r>
    </w:p>
    <w:p>
      <w:pPr>
        <w:pStyle w:val="BodyTextFirstIndent"/>
        <w:rPr/>
      </w:pPr>
      <w:r>
        <w:rPr/>
        <w:t>"</w:t>
      </w:r>
      <w:r>
        <w:rPr>
          <w:u w:val="single"/>
        </w:rPr>
        <w:t>Tariff</w:t>
      </w:r>
      <w:r>
        <w:rPr/>
        <w:t>" means the Company's P.S.C. No. 207 – ELECTRICITY, Schedule for Electric Service as it exists at the time of execution of this Agreement and as it may be amended from time to time hereafter.</w:t>
      </w:r>
    </w:p>
    <w:p>
      <w:pPr>
        <w:pStyle w:val="BodyTextFirstIndent"/>
        <w:rPr/>
      </w:pPr>
      <w:r>
        <w:rPr>
          <w:rFonts w:eastAsia="MS Mincho;ＭＳ 明朝"/>
        </w:rPr>
        <w:t>"</w:t>
      </w:r>
      <w:r>
        <w:rPr>
          <w:rFonts w:eastAsia="MS Mincho;ＭＳ 明朝"/>
          <w:u w:val="single"/>
        </w:rPr>
        <w:t>Taxes</w:t>
      </w:r>
      <w:r>
        <w:rPr>
          <w:rFonts w:eastAsia="MS Mincho;ＭＳ 明朝"/>
        </w:rPr>
        <w:t>" means all transactional taxes, charges, fees, levies, penalties or other assessments imposed by any United States federal, state or local or foreign taxing authority, including any excise, property, sales, use, transfer or other similar taxes, including any interest, penalties or additions attributable thereto, but excluding any taxes measured by net income and franchise and employment taxes.</w:t>
      </w:r>
    </w:p>
    <w:p>
      <w:pPr>
        <w:pStyle w:val="BodyTextFirstIndent"/>
        <w:rPr/>
      </w:pPr>
      <w:r>
        <w:rPr/>
        <w:t>"</w:t>
      </w:r>
      <w:r>
        <w:rPr>
          <w:u w:val="single"/>
        </w:rPr>
        <w:t>Transmission Congestion Contract</w:t>
      </w:r>
      <w:r>
        <w:rPr/>
        <w:t>" or "</w:t>
      </w:r>
      <w:r>
        <w:rPr>
          <w:u w:val="single"/>
        </w:rPr>
        <w:t>TCC</w:t>
      </w:r>
      <w:r>
        <w:rPr>
          <w:rFonts w:eastAsia="MS Mincho;ＭＳ 明朝"/>
        </w:rPr>
        <w:t>"</w:t>
      </w:r>
      <w:r>
        <w:rPr/>
        <w:t xml:space="preserve"> means, as defined in the NYISO OATT 1.44e, the right to collect or obligation to pay Congestion Rents in the Day-Ahead Market for Energy associated with a single megawatt of transmission between a specified POI and POW.  </w:t>
      </w:r>
    </w:p>
    <w:p>
      <w:pPr>
        <w:pStyle w:val="BodyTextFirstIndent"/>
        <w:rPr/>
      </w:pPr>
      <w:r>
        <w:rPr/>
        <w:t>"</w:t>
      </w:r>
      <w:r>
        <w:rPr>
          <w:u w:val="single"/>
        </w:rPr>
        <w:t>Transmission Congestion Contract Revenue</w:t>
      </w:r>
      <w:r>
        <w:rPr/>
        <w:t>" means the Congestion Rent associated with the TCCs listed on Schedule C.</w:t>
      </w:r>
    </w:p>
    <w:p>
      <w:pPr>
        <w:pStyle w:val="BodyTextFirstIndent"/>
        <w:rPr/>
      </w:pPr>
      <w:r>
        <w:rPr/>
        <w:t>"</w:t>
      </w:r>
      <w:r>
        <w:rPr>
          <w:u w:val="single"/>
        </w:rPr>
        <w:t>Transmission Owner</w:t>
      </w:r>
      <w:r>
        <w:rPr/>
        <w:t>" has the meaning set forth in the NYISO OATT.</w:t>
      </w:r>
    </w:p>
    <w:p>
      <w:pPr>
        <w:pStyle w:val="BodyTextFirstIndent"/>
        <w:rPr/>
      </w:pPr>
      <w:r>
        <w:rPr/>
        <w:t>"</w:t>
      </w:r>
      <w:r>
        <w:rPr>
          <w:u w:val="single"/>
        </w:rPr>
        <w:t>Transmission Service Charge</w:t>
      </w:r>
      <w:r>
        <w:rPr/>
        <w:t>" or "</w:t>
      </w:r>
      <w:r>
        <w:rPr>
          <w:u w:val="single"/>
        </w:rPr>
        <w:t>TSC</w:t>
      </w:r>
      <w:r>
        <w:rPr/>
        <w:t>" means, pursuant to the NYISO OATT 1.48a, a charge designed to ensure recovery of the embedded cost of a Transmission Owner’s transmission system.</w:t>
      </w:r>
    </w:p>
    <w:p>
      <w:pPr>
        <w:pStyle w:val="BodyTextFirstIndent"/>
        <w:rPr/>
      </w:pPr>
      <w:r>
        <w:rPr/>
        <w:t>"</w:t>
      </w:r>
      <w:r>
        <w:rPr>
          <w:u w:val="single"/>
        </w:rPr>
        <w:t>Transmission Use Charge</w:t>
      </w:r>
      <w:r>
        <w:rPr/>
        <w:t>" or "</w:t>
      </w:r>
      <w:r>
        <w:rPr>
          <w:u w:val="single"/>
        </w:rPr>
        <w:t>TUC</w:t>
      </w:r>
      <w:r>
        <w:rPr/>
        <w:t>" has the meaning set forth in the NYISO OATT.</w:t>
      </w:r>
    </w:p>
    <w:p>
      <w:pPr>
        <w:pStyle w:val="BodyTextFirstIndent"/>
        <w:rPr/>
      </w:pPr>
      <w:r>
        <w:rPr/>
        <w:t>“</w:t>
      </w:r>
      <w:r>
        <w:rPr>
          <w:u w:val="single"/>
        </w:rPr>
        <w:t>Voluntary Price Responsive Load</w:t>
      </w:r>
      <w:r>
        <w:rPr/>
        <w:t>” means any Standard Offer Service Consumption that complies with and fulfills the requirements set forth in the NYISO Services Tariff and the Tariff and Supplier's instructions pursuant to any Voluntary Price Responsive Load Agreement between the Company and the respective customer for reduction in consumption applicable to "voluntary response programs", as defined in the Tariff and/or in PSC Case No. 00-E-2054, as amended or superseded from time to time.</w:t>
      </w:r>
    </w:p>
    <w:p>
      <w:pPr>
        <w:pStyle w:val="BodyTextFirstIndent"/>
        <w:rPr/>
      </w:pPr>
      <w:r>
        <w:rPr/>
        <w:t>“</w:t>
      </w:r>
      <w:r>
        <w:rPr>
          <w:u w:val="single"/>
        </w:rPr>
        <w:t>Voluntary Price Responsive Load Agreement</w:t>
      </w:r>
      <w:r>
        <w:rPr/>
        <w:t>” means any agreement between the Company and a Standard Offer Service customer with respect to Voluntary Price Responsive Load.</w:t>
      </w:r>
    </w:p>
    <w:p>
      <w:pPr>
        <w:pStyle w:val="BodyTextFirstIndent"/>
        <w:rPr/>
      </w:pPr>
      <w:r>
        <w:rPr/>
        <w:t>“</w:t>
      </w:r>
      <w:r>
        <w:rPr>
          <w:u w:val="single"/>
        </w:rPr>
        <w:t>Voluntary Price Responsive Load Payment</w:t>
      </w:r>
      <w:r>
        <w:rPr/>
        <w:t>” means any payment due to a Standard Offer Service customer for Voluntary Price Responsive Load pursuant to a Voluntary Price Responsive Load Agreement.</w:t>
      </w:r>
    </w:p>
    <w:p>
      <w:pPr>
        <w:pStyle w:val="BodyTextFirstIndent"/>
        <w:rPr/>
      </w:pPr>
      <w:r>
        <w:rPr/>
        <w:t>"</w:t>
      </w:r>
      <w:r>
        <w:rPr>
          <w:u w:val="single"/>
        </w:rPr>
        <w:t>Zone</w:t>
      </w:r>
      <w:r>
        <w:rPr/>
        <w:t xml:space="preserve">" means each a load zone as </w:t>
      </w:r>
      <w:r>
        <w:rPr>
          <w:rFonts w:eastAsia="MS Mincho;ＭＳ 明朝"/>
        </w:rPr>
        <w:t>defined by the NYISO OATT.  For purposes of this Agreement, Zones include, as labeled</w:t>
      </w:r>
      <w:r>
        <w:rPr/>
        <w:t xml:space="preserve"> by the NYISO: West, Genesee, Central, North, Mohawk Valley and Capital.</w:t>
      </w:r>
    </w:p>
    <w:p>
      <w:pPr>
        <w:pStyle w:val="Heading2"/>
        <w:ind w:hanging="0" w:start="0"/>
        <w:rPr>
          <w:vanish/>
          <w:color w:val="000080"/>
        </w:rPr>
      </w:pPr>
      <w:r>
        <w:rPr>
          <w:u w:val="none"/>
        </w:rPr>
        <w:tab/>
      </w:r>
      <w:bookmarkStart w:id="2" w:name="__RefHeading___Toc509734693"/>
      <w:r>
        <w:rPr/>
        <w:t>Additional Terms</w:t>
      </w:r>
      <w:r>
        <w:rPr>
          <w:u w:val="none"/>
        </w:rPr>
        <w:t>.</w:t>
      </w:r>
      <w:bookmarkEnd w:id="2"/>
      <w:r>
        <w:rPr>
          <w:u w:val="none"/>
        </w:rPr>
        <w:t xml:space="preserve">  </w:t>
      </w:r>
    </w:p>
    <w:p>
      <w:pPr>
        <w:pStyle w:val="BodyTextFirstIndent"/>
        <w:keepNext w:val="true"/>
        <w:rPr/>
      </w:pPr>
      <w:r>
        <w:rPr/>
        <w:t>Each of the following terms has the meaning specified in the Section or Schedule set forth opposite such term:</w:t>
      </w:r>
    </w:p>
    <w:tbl>
      <w:tblPr>
        <w:tblW w:w="8437" w:type="dxa"/>
        <w:jc w:val="center"/>
        <w:tblInd w:w="0" w:type="dxa"/>
        <w:tblLayout w:type="fixed"/>
        <w:tblCellMar>
          <w:top w:w="0" w:type="dxa"/>
          <w:start w:w="108" w:type="dxa"/>
          <w:bottom w:w="0" w:type="dxa"/>
          <w:end w:w="108" w:type="dxa"/>
        </w:tblCellMar>
      </w:tblPr>
      <w:tblGrid>
        <w:gridCol w:w="4162"/>
        <w:gridCol w:w="4275"/>
      </w:tblGrid>
      <w:tr>
        <w:trPr>
          <w:tblHeader w:val="true"/>
          <w:trHeight w:val="220" w:hRule="exact"/>
        </w:trPr>
        <w:tc>
          <w:tcPr>
            <w:tcW w:w="4162" w:type="dxa"/>
            <w:tcBorders/>
          </w:tcPr>
          <w:p>
            <w:pPr>
              <w:pStyle w:val="BodyTextFirstIndent"/>
              <w:spacing w:before="0" w:after="240"/>
              <w:ind w:hanging="0" w:end="0"/>
              <w:rPr/>
            </w:pPr>
            <w:r>
              <w:rPr/>
              <w:t>Term</w:t>
            </w:r>
          </w:p>
        </w:tc>
        <w:tc>
          <w:tcPr>
            <w:tcW w:w="4275" w:type="dxa"/>
            <w:tcBorders/>
          </w:tcPr>
          <w:p>
            <w:pPr>
              <w:pStyle w:val="BodyTextFirstIndent"/>
              <w:spacing w:before="0" w:after="240"/>
              <w:ind w:hanging="0" w:end="0"/>
              <w:jc w:val="end"/>
              <w:rPr/>
            </w:pPr>
            <w:r>
              <w:rPr/>
              <w:t>Section/Schedule</w:t>
            </w:r>
          </w:p>
        </w:tc>
      </w:tr>
      <w:tr>
        <w:trPr>
          <w:trHeight w:val="220" w:hRule="exact"/>
        </w:trPr>
        <w:tc>
          <w:tcPr>
            <w:tcW w:w="4162" w:type="dxa"/>
            <w:tcBorders/>
          </w:tcPr>
          <w:p>
            <w:pPr>
              <w:pStyle w:val="BodyTextFirstIndent"/>
              <w:snapToGrid w:val="false"/>
              <w:spacing w:before="0" w:after="240"/>
              <w:ind w:hanging="0" w:end="0"/>
              <w:rPr>
                <w:b/>
              </w:rPr>
            </w:pPr>
            <w:r>
              <w:rPr>
                <w:b/>
              </w:rPr>
            </w:r>
          </w:p>
        </w:tc>
        <w:tc>
          <w:tcPr>
            <w:tcW w:w="4275" w:type="dxa"/>
            <w:tcBorders/>
          </w:tcPr>
          <w:p>
            <w:pPr>
              <w:pStyle w:val="BodyTextFirstIndent"/>
              <w:snapToGrid w:val="false"/>
              <w:spacing w:before="0" w:after="240"/>
              <w:ind w:hanging="0" w:end="0"/>
              <w:jc w:val="end"/>
              <w:rPr/>
            </w:pPr>
            <w:r>
              <w:rPr/>
            </w:r>
          </w:p>
        </w:tc>
      </w:tr>
      <w:tr>
        <w:trPr>
          <w:trHeight w:val="220" w:hRule="exact"/>
        </w:trPr>
        <w:tc>
          <w:tcPr>
            <w:tcW w:w="4162" w:type="dxa"/>
            <w:tcBorders/>
          </w:tcPr>
          <w:p>
            <w:pPr>
              <w:pStyle w:val="BodyTextFirstIndent"/>
              <w:spacing w:before="0" w:after="240"/>
              <w:ind w:hanging="0" w:end="0"/>
              <w:rPr/>
            </w:pPr>
            <w:r>
              <w:rPr/>
              <w:t>Confidential Information</w:t>
            </w:r>
          </w:p>
        </w:tc>
        <w:tc>
          <w:tcPr>
            <w:tcW w:w="4275" w:type="dxa"/>
            <w:tcBorders/>
          </w:tcPr>
          <w:p>
            <w:pPr>
              <w:pStyle w:val="BodyTextFirstIndent"/>
              <w:spacing w:before="0" w:after="240"/>
              <w:ind w:hanging="0" w:end="0"/>
              <w:jc w:val="end"/>
              <w:rPr/>
            </w:pPr>
            <w:r>
              <w:rPr/>
              <w:t>15.01(a)</w:t>
            </w:r>
          </w:p>
        </w:tc>
      </w:tr>
      <w:tr>
        <w:trPr>
          <w:trHeight w:val="220" w:hRule="exact"/>
        </w:trPr>
        <w:tc>
          <w:tcPr>
            <w:tcW w:w="4162" w:type="dxa"/>
            <w:tcBorders/>
          </w:tcPr>
          <w:p>
            <w:pPr>
              <w:pStyle w:val="BodyTextFirstIndent"/>
              <w:spacing w:before="0" w:after="240"/>
              <w:ind w:hanging="0" w:end="0"/>
              <w:rPr/>
            </w:pPr>
            <w:r>
              <w:rPr/>
              <w:t>Default Notice</w:t>
            </w:r>
          </w:p>
        </w:tc>
        <w:tc>
          <w:tcPr>
            <w:tcW w:w="4275" w:type="dxa"/>
            <w:tcBorders/>
          </w:tcPr>
          <w:p>
            <w:pPr>
              <w:pStyle w:val="BodyTextFirstIndent"/>
              <w:spacing w:before="0" w:after="240"/>
              <w:ind w:hanging="0" w:end="0"/>
              <w:jc w:val="end"/>
              <w:rPr/>
            </w:pPr>
            <w:r>
              <w:rPr/>
              <w:t>8.02(a)</w:t>
            </w:r>
          </w:p>
        </w:tc>
      </w:tr>
      <w:tr>
        <w:trPr>
          <w:trHeight w:val="220" w:hRule="exact"/>
        </w:trPr>
        <w:tc>
          <w:tcPr>
            <w:tcW w:w="4162" w:type="dxa"/>
            <w:tcBorders/>
          </w:tcPr>
          <w:p>
            <w:pPr>
              <w:pStyle w:val="BodyTextFirstIndent"/>
              <w:spacing w:before="0" w:after="240"/>
              <w:ind w:hanging="0" w:end="0"/>
              <w:rPr/>
            </w:pPr>
            <w:r>
              <w:rPr/>
              <w:t>Direct Claim</w:t>
            </w:r>
          </w:p>
        </w:tc>
        <w:tc>
          <w:tcPr>
            <w:tcW w:w="4275" w:type="dxa"/>
            <w:tcBorders/>
          </w:tcPr>
          <w:p>
            <w:pPr>
              <w:pStyle w:val="BodyTextFirstIndent"/>
              <w:spacing w:before="0" w:after="240"/>
              <w:ind w:hanging="0" w:end="0"/>
              <w:jc w:val="end"/>
              <w:rPr/>
            </w:pPr>
            <w:r>
              <w:rPr/>
              <w:t>11.02(c)</w:t>
            </w:r>
          </w:p>
        </w:tc>
      </w:tr>
      <w:tr>
        <w:trPr>
          <w:trHeight w:val="220" w:hRule="exact"/>
        </w:trPr>
        <w:tc>
          <w:tcPr>
            <w:tcW w:w="4162" w:type="dxa"/>
            <w:tcBorders/>
          </w:tcPr>
          <w:p>
            <w:pPr>
              <w:pStyle w:val="BodyTextFirstIndent"/>
              <w:spacing w:before="0" w:after="240"/>
              <w:ind w:hanging="0" w:end="0"/>
              <w:rPr/>
            </w:pPr>
            <w:r>
              <w:rPr/>
              <w:t>Due Date</w:t>
            </w:r>
          </w:p>
        </w:tc>
        <w:tc>
          <w:tcPr>
            <w:tcW w:w="4275" w:type="dxa"/>
            <w:tcBorders/>
          </w:tcPr>
          <w:p>
            <w:pPr>
              <w:pStyle w:val="BodyTextFirstIndent"/>
              <w:spacing w:before="0" w:after="240"/>
              <w:ind w:hanging="0" w:end="0"/>
              <w:jc w:val="end"/>
              <w:rPr/>
            </w:pPr>
            <w:r>
              <w:rPr/>
              <w:t>6.01   </w:t>
            </w:r>
          </w:p>
        </w:tc>
      </w:tr>
      <w:tr>
        <w:trPr>
          <w:trHeight w:val="220" w:hRule="exact"/>
        </w:trPr>
        <w:tc>
          <w:tcPr>
            <w:tcW w:w="4162" w:type="dxa"/>
            <w:tcBorders/>
          </w:tcPr>
          <w:p>
            <w:pPr>
              <w:pStyle w:val="BodyTextFirstIndent"/>
              <w:spacing w:before="0" w:after="240"/>
              <w:ind w:hanging="0" w:end="0"/>
              <w:rPr/>
            </w:pPr>
            <w:r>
              <w:rPr/>
              <w:t>Indemnifiable Loss</w:t>
            </w:r>
          </w:p>
        </w:tc>
        <w:tc>
          <w:tcPr>
            <w:tcW w:w="4275" w:type="dxa"/>
            <w:tcBorders/>
          </w:tcPr>
          <w:p>
            <w:pPr>
              <w:pStyle w:val="BodyTextFirstIndent"/>
              <w:spacing w:before="0" w:after="240"/>
              <w:ind w:hanging="0" w:end="0"/>
              <w:jc w:val="end"/>
              <w:rPr/>
            </w:pPr>
            <w:r>
              <w:rPr/>
              <w:t>11.01(a)</w:t>
            </w:r>
          </w:p>
        </w:tc>
      </w:tr>
      <w:tr>
        <w:trPr>
          <w:trHeight w:val="220" w:hRule="exact"/>
        </w:trPr>
        <w:tc>
          <w:tcPr>
            <w:tcW w:w="4162" w:type="dxa"/>
            <w:tcBorders/>
          </w:tcPr>
          <w:p>
            <w:pPr>
              <w:pStyle w:val="BodyTextFirstIndent"/>
              <w:spacing w:before="0" w:after="240"/>
              <w:ind w:hanging="0" w:end="0"/>
              <w:rPr/>
            </w:pPr>
            <w:r>
              <w:rPr/>
              <w:t>Indemnitee</w:t>
            </w:r>
          </w:p>
        </w:tc>
        <w:tc>
          <w:tcPr>
            <w:tcW w:w="4275" w:type="dxa"/>
            <w:tcBorders/>
          </w:tcPr>
          <w:p>
            <w:pPr>
              <w:pStyle w:val="BodyTextFirstIndent"/>
              <w:spacing w:before="0" w:after="240"/>
              <w:ind w:hanging="0" w:end="0"/>
              <w:jc w:val="end"/>
              <w:rPr/>
            </w:pPr>
            <w:r>
              <w:rPr/>
              <w:t>11.01(c)</w:t>
            </w:r>
          </w:p>
        </w:tc>
      </w:tr>
      <w:tr>
        <w:trPr>
          <w:trHeight w:val="220" w:hRule="exact"/>
        </w:trPr>
        <w:tc>
          <w:tcPr>
            <w:tcW w:w="4162" w:type="dxa"/>
            <w:tcBorders/>
          </w:tcPr>
          <w:p>
            <w:pPr>
              <w:pStyle w:val="BodyTextFirstIndent"/>
              <w:spacing w:before="0" w:after="240"/>
              <w:ind w:hanging="0" w:end="0"/>
              <w:rPr/>
            </w:pPr>
            <w:r>
              <w:rPr/>
              <w:t>Loss</w:t>
            </w:r>
          </w:p>
        </w:tc>
        <w:tc>
          <w:tcPr>
            <w:tcW w:w="4275" w:type="dxa"/>
            <w:tcBorders/>
          </w:tcPr>
          <w:p>
            <w:pPr>
              <w:pStyle w:val="BodyTextFirstIndent"/>
              <w:spacing w:before="0" w:after="240"/>
              <w:ind w:hanging="0" w:end="0"/>
              <w:jc w:val="end"/>
              <w:rPr/>
            </w:pPr>
            <w:r>
              <w:rPr/>
              <w:t>8.02(a)</w:t>
            </w:r>
          </w:p>
        </w:tc>
      </w:tr>
      <w:tr>
        <w:trPr>
          <w:trHeight w:val="220" w:hRule="exact"/>
        </w:trPr>
        <w:tc>
          <w:tcPr>
            <w:tcW w:w="4162" w:type="dxa"/>
            <w:tcBorders/>
          </w:tcPr>
          <w:p>
            <w:pPr>
              <w:pStyle w:val="BodyTextFirstIndent"/>
              <w:spacing w:before="0" w:after="240"/>
              <w:ind w:hanging="0" w:end="0"/>
              <w:rPr/>
            </w:pPr>
            <w:r>
              <w:rPr/>
              <w:t>Party Representative</w:t>
            </w:r>
          </w:p>
        </w:tc>
        <w:tc>
          <w:tcPr>
            <w:tcW w:w="4275" w:type="dxa"/>
            <w:tcBorders/>
          </w:tcPr>
          <w:p>
            <w:pPr>
              <w:pStyle w:val="BodyTextFirstIndent"/>
              <w:spacing w:before="0" w:after="240"/>
              <w:ind w:hanging="0" w:end="0"/>
              <w:jc w:val="end"/>
              <w:rPr/>
            </w:pPr>
            <w:r>
              <w:rPr/>
              <w:t>10(a)</w:t>
            </w:r>
          </w:p>
        </w:tc>
      </w:tr>
      <w:tr>
        <w:trPr>
          <w:trHeight w:val="220" w:hRule="exact"/>
        </w:trPr>
        <w:tc>
          <w:tcPr>
            <w:tcW w:w="4162" w:type="dxa"/>
            <w:tcBorders/>
          </w:tcPr>
          <w:p>
            <w:pPr>
              <w:pStyle w:val="BodyTextFirstIndent"/>
              <w:spacing w:before="0" w:after="240"/>
              <w:ind w:hanging="0" w:end="0"/>
              <w:rPr/>
            </w:pPr>
            <w:r>
              <w:rPr/>
              <w:t>Price Correction</w:t>
            </w:r>
          </w:p>
        </w:tc>
        <w:tc>
          <w:tcPr>
            <w:tcW w:w="4275" w:type="dxa"/>
            <w:tcBorders/>
          </w:tcPr>
          <w:p>
            <w:pPr>
              <w:pStyle w:val="BodyTextFirstIndent"/>
              <w:spacing w:before="0" w:after="240"/>
              <w:ind w:hanging="0" w:end="0"/>
              <w:jc w:val="end"/>
              <w:rPr/>
            </w:pPr>
            <w:r>
              <w:rPr/>
              <w:t>5(a)(iii)</w:t>
            </w:r>
          </w:p>
        </w:tc>
      </w:tr>
      <w:tr>
        <w:trPr>
          <w:trHeight w:val="220" w:hRule="exact"/>
        </w:trPr>
        <w:tc>
          <w:tcPr>
            <w:tcW w:w="4162" w:type="dxa"/>
            <w:tcBorders/>
          </w:tcPr>
          <w:p>
            <w:pPr>
              <w:pStyle w:val="BodyTextFirstIndent"/>
              <w:spacing w:before="0" w:after="240"/>
              <w:ind w:hanging="0" w:end="0"/>
              <w:rPr/>
            </w:pPr>
            <w:r>
              <w:rPr/>
              <w:t>PSC Proceeding</w:t>
            </w:r>
          </w:p>
        </w:tc>
        <w:tc>
          <w:tcPr>
            <w:tcW w:w="4275" w:type="dxa"/>
            <w:tcBorders/>
          </w:tcPr>
          <w:p>
            <w:pPr>
              <w:pStyle w:val="BodyTextFirstIndent"/>
              <w:spacing w:before="0" w:after="240"/>
              <w:ind w:hanging="0" w:end="0"/>
              <w:jc w:val="end"/>
              <w:rPr/>
            </w:pPr>
            <w:r>
              <w:rPr/>
              <w:t>15.12   </w:t>
            </w:r>
          </w:p>
        </w:tc>
      </w:tr>
      <w:tr>
        <w:trPr>
          <w:trHeight w:val="220" w:hRule="exact"/>
        </w:trPr>
        <w:tc>
          <w:tcPr>
            <w:tcW w:w="4162" w:type="dxa"/>
            <w:tcBorders/>
          </w:tcPr>
          <w:p>
            <w:pPr>
              <w:pStyle w:val="BodyTextFirstIndent"/>
              <w:spacing w:before="0" w:after="240"/>
              <w:ind w:hanging="0" w:end="0"/>
              <w:rPr/>
            </w:pPr>
            <w:r>
              <w:rPr/>
              <w:t>Third Party Claim</w:t>
            </w:r>
          </w:p>
        </w:tc>
        <w:tc>
          <w:tcPr>
            <w:tcW w:w="4275" w:type="dxa"/>
            <w:tcBorders/>
          </w:tcPr>
          <w:p>
            <w:pPr>
              <w:pStyle w:val="BodyTextFirstIndent"/>
              <w:spacing w:before="0" w:after="240"/>
              <w:ind w:hanging="0" w:end="0"/>
              <w:jc w:val="end"/>
              <w:rPr/>
            </w:pPr>
            <w:r>
              <w:rPr/>
              <w:t>11.02(a)</w:t>
            </w:r>
          </w:p>
        </w:tc>
      </w:tr>
    </w:tbl>
    <w:p>
      <w:pPr>
        <w:pStyle w:val="BodyTextFirstIndent"/>
        <w:rPr>
          <w:b/>
        </w:rPr>
      </w:pPr>
      <w:r>
        <w:rPr>
          <w:b/>
        </w:rPr>
      </w:r>
    </w:p>
    <w:p>
      <w:pPr>
        <w:pStyle w:val="Heading1"/>
        <w:ind w:hanging="0" w:start="0"/>
        <w:rPr/>
      </w:pPr>
      <w:r>
        <w:rPr>
          <w:u w:val="none"/>
        </w:rPr>
        <w:br/>
      </w:r>
      <w:bookmarkStart w:id="3" w:name="__RefHeading___Toc509734694"/>
      <w:r>
        <w:rPr/>
        <w:t>TERM; REQUIRED APPROVALS</w:t>
      </w:r>
      <w:bookmarkEnd w:id="3"/>
    </w:p>
    <w:p>
      <w:pPr>
        <w:pStyle w:val="Heading2"/>
        <w:ind w:hanging="0" w:start="0"/>
        <w:rPr>
          <w:vanish/>
          <w:color w:val="000080"/>
        </w:rPr>
      </w:pPr>
      <w:r>
        <w:rPr>
          <w:u w:val="none"/>
        </w:rPr>
        <w:tab/>
      </w:r>
      <w:bookmarkStart w:id="4" w:name="__RefHeading___Toc509734695"/>
      <w:r>
        <w:rPr/>
        <w:t>Term</w:t>
      </w:r>
      <w:r>
        <w:rPr>
          <w:u w:val="none"/>
        </w:rPr>
        <w:t>.</w:t>
      </w:r>
      <w:bookmarkEnd w:id="4"/>
      <w:r>
        <w:rPr>
          <w:u w:val="none"/>
        </w:rPr>
        <w:t xml:space="preserve">  </w:t>
      </w:r>
    </w:p>
    <w:p>
      <w:pPr>
        <w:pStyle w:val="BodyTextFirstIndent"/>
        <w:keepNext w:val="true"/>
        <w:keepLines/>
        <w:rPr/>
      </w:pPr>
      <w:r>
        <w:rPr/>
        <w:t xml:space="preserve">This Agreement shall be effective immediately upon execution by the Parties and shall continue in effect until </w:t>
      </w:r>
      <w:r>
        <w:rPr>
          <w:b/>
        </w:rPr>
        <w:t>(</w:t>
      </w:r>
      <w:r>
        <w:rPr/>
        <w:t>but not including</w:t>
      </w:r>
      <w:r>
        <w:rPr>
          <w:b/>
        </w:rPr>
        <w:t>)</w:t>
      </w:r>
      <w:r>
        <w:rPr/>
        <w:t xml:space="preserve"> December 31, 2006, unless terminated sooner in accordance with Article 8.  Delivery of All-Requirements Service under this Agreement shall commence on the Commencement Date of Service.</w:t>
      </w:r>
    </w:p>
    <w:p>
      <w:pPr>
        <w:pStyle w:val="Heading2"/>
        <w:keepNext w:val="false"/>
        <w:ind w:hanging="0" w:start="0"/>
        <w:rPr>
          <w:vanish/>
          <w:color w:val="000080"/>
        </w:rPr>
      </w:pPr>
      <w:r>
        <w:rPr>
          <w:u w:val="none"/>
        </w:rPr>
        <w:tab/>
      </w:r>
      <w:bookmarkStart w:id="5" w:name="__RefHeading___Toc509734696"/>
      <w:r>
        <w:rPr/>
        <w:t>Required Approvals</w:t>
      </w:r>
      <w:r>
        <w:rPr>
          <w:u w:val="none"/>
        </w:rPr>
        <w:t>.</w:t>
      </w:r>
      <w:bookmarkEnd w:id="5"/>
      <w:r>
        <w:rPr>
          <w:u w:val="none"/>
        </w:rPr>
        <w:t xml:space="preserve"> </w:t>
      </w:r>
    </w:p>
    <w:p>
      <w:pPr>
        <w:pStyle w:val="BodyTextFirstIndent"/>
        <w:rPr/>
      </w:pPr>
      <w:r>
        <w:rPr/>
        <w:t xml:space="preserve">The Parties' obligations under this Agreement are subject to the receipt of all consents and approvals from Governmental Authorities (other than those the failure of which to obtain could not reasonably be expected to result in a Material Adverse Effect) required for consummation of the transactions contemplated hereby, including the Required Regulatory Approvals.  </w:t>
      </w:r>
    </w:p>
    <w:p>
      <w:pPr>
        <w:pStyle w:val="Heading1"/>
        <w:keepLines w:val="false"/>
        <w:ind w:hanging="0" w:start="0"/>
        <w:rPr/>
      </w:pPr>
      <w:r>
        <w:rPr/>
        <w:br/>
      </w:r>
      <w:bookmarkStart w:id="6" w:name="__RefHeading___Toc509734697"/>
      <w:r>
        <w:rPr/>
        <w:t>SUPPLIER RESPONSIBILITIES</w:t>
      </w:r>
      <w:bookmarkEnd w:id="6"/>
    </w:p>
    <w:p>
      <w:pPr>
        <w:pStyle w:val="Heading3"/>
        <w:ind w:hanging="0" w:start="0"/>
        <w:rPr/>
      </w:pPr>
      <w:r>
        <w:rPr/>
        <w:t xml:space="preserve">Commencing as of the Commencement Date of Service, Supplier shall sell and the Company shall purchase at the Retail Delivery Point All-Requirements Service simultaneously with Supplier’s delivery thereof at the Retail Delivery Point.  </w:t>
      </w:r>
    </w:p>
    <w:p>
      <w:pPr>
        <w:pStyle w:val="Heading3"/>
        <w:ind w:hanging="0" w:start="0"/>
        <w:rPr/>
      </w:pPr>
      <w:r>
        <w:rPr/>
        <w:t>Supplier shall comply with the NYISO Services Tariff, the NYISO OATT and all other applicable NYISO rules, regulations and requirements.</w:t>
      </w:r>
    </w:p>
    <w:p>
      <w:pPr>
        <w:pStyle w:val="Heading3"/>
        <w:ind w:hanging="0" w:start="0"/>
        <w:rPr/>
      </w:pPr>
      <w:r>
        <w:rPr/>
        <w:t>Supplier shall provide the NYPA with schedules of NYPA Niagara Peaking and shall provide the Company with copies of such schedules simultaneously with providing such schedules to the NYPA.</w:t>
      </w:r>
    </w:p>
    <w:p>
      <w:pPr>
        <w:pStyle w:val="Heading3"/>
        <w:ind w:hanging="0" w:start="0"/>
        <w:rPr/>
      </w:pPr>
      <w:r>
        <w:rPr/>
        <w:t>If so requested by the Company, Supplier shall use Load Modifiers in scheduling with the NYISO in a manner that will minimize the cost of Ancillary Services.</w:t>
      </w:r>
    </w:p>
    <w:p>
      <w:pPr>
        <w:pStyle w:val="Heading3"/>
        <w:ind w:hanging="0" w:start="0"/>
        <w:rPr/>
      </w:pPr>
      <w:r>
        <w:rPr/>
        <w:t>Except as otherwise specifically provided herein, Supplier shall be solely responsible for satisfying all requirements and paying all costs incurred or to be incurred to provide the All-Requirements Service, including all costs or other requirements to furnish Energy, Installed Capacity, TUCs, Ancillary Services and NTAC associated with the provision of All-Requirements Service, but excluding payments to the NYPA associated with NYPA Residential Power; provided, however, that Supplier shall not be responsible for TSCs associated with the Standard Offer Service Consumption.  Supplier shall also be solely responsible for meeting any other requirements now or hereafter imposed by the NYISO from time to time that are attributable to the provision of the All-Requirements Service, as they may arise.  If after the date of this Agreement the NYISO or any successor entity allocates any new expenses or uplift costs to the All-Requirements Service (on a Load or peak Load basis or otherwise), other than any such expenses or costs that are Ancillary Services (except Rate Schedule 4 Imbalance) or NTAC and any other expenses and costs otherwise allocated to the Company pursuant to this Agreement, the expenses or costs so allocated will be borne solely by the Supplier without recourse to the Company.</w:t>
      </w:r>
    </w:p>
    <w:p>
      <w:pPr>
        <w:pStyle w:val="Heading3"/>
        <w:ind w:hanging="0" w:start="0"/>
        <w:rPr/>
      </w:pPr>
      <w:r>
        <w:rPr/>
        <w:t>Supplier shall be responsible for meeting all Installed Capacity Requirements for Standard Offer Service Consumption, net of Installed Capacity provided by the NYPA Residential Power.</w:t>
      </w:r>
    </w:p>
    <w:p>
      <w:pPr>
        <w:pStyle w:val="Heading3"/>
        <w:ind w:hanging="0" w:start="0"/>
        <w:rPr/>
      </w:pPr>
      <w:r>
        <w:rPr/>
        <w:t>Supplier shall make any filings required of it with FERC in accordance with the provisions of all applicable laws, rules and regulations; provided, however, that Supplier shall consult with the Company prior to making any such filing.  Supplier shall be responsible for and pay for all fees associated with such required filings, if any.</w:t>
      </w:r>
    </w:p>
    <w:p>
      <w:pPr>
        <w:pStyle w:val="Heading3"/>
        <w:ind w:hanging="0" w:start="0"/>
        <w:rPr/>
      </w:pPr>
      <w:r>
        <w:rPr/>
        <w:t>Supplier shall at all times be (i) the LSE for Standard Offer Service Consumption, except for NYPA Residential Power, and a participant in the NYISO's wholesale market settlement process and (ii) in compliance with the NYISO’s rules, regulations and policies.</w:t>
      </w:r>
    </w:p>
    <w:p>
      <w:pPr>
        <w:pStyle w:val="Heading3"/>
        <w:ind w:hanging="0" w:start="0"/>
        <w:rPr/>
      </w:pPr>
      <w:r>
        <w:rPr/>
        <w:t>In the event that FERC, the PSC or any other applicable Governmental Authority requires the Company to report information regarding power plant emissions, fuel types, labor or any other factors for the sources of electricity used to supply All-Requirements Service, Supplier shall provide the Company such information in a timely manner and in an appropriate form to enable the Company efficiently to comply with such requirements.</w:t>
      </w:r>
    </w:p>
    <w:p>
      <w:pPr>
        <w:pStyle w:val="Heading3"/>
        <w:ind w:hanging="0" w:start="0"/>
        <w:rPr/>
      </w:pPr>
      <w:r>
        <w:rPr/>
        <w:t>Supplier shall cooperate with the Company to cause the NYPA Residential Power to be scheduled and allocated to satisfy Standard Offer Service Consumption in accordance with paragraph (f) of Article 4.</w:t>
      </w:r>
    </w:p>
    <w:p>
      <w:pPr>
        <w:pStyle w:val="BodyText5LA"/>
        <w:rPr/>
      </w:pPr>
      <w:r>
        <w:rPr/>
        <w:t>(k)</w:t>
        <w:tab/>
        <w:t>Supplier shall be responsible for satisfying all requirements with respect to Price Responsive Load applicable to the Company under the Tariff and the NYISO Services Tariff, as applicable; provided, however, that Supplier shall not be responsible for making any payments to Standard Offer Service customers with respect to Price Responsive Load.</w:t>
      </w:r>
    </w:p>
    <w:p>
      <w:pPr>
        <w:pStyle w:val="Heading1"/>
        <w:ind w:hanging="0" w:start="0"/>
        <w:rPr/>
      </w:pPr>
      <w:r>
        <w:rPr/>
        <w:br/>
      </w:r>
      <w:bookmarkStart w:id="7" w:name="__RefHeading___Toc509734698"/>
      <w:r>
        <w:rPr/>
        <w:t>COMPANY RESPONSIBILITIES</w:t>
      </w:r>
      <w:bookmarkEnd w:id="7"/>
    </w:p>
    <w:p>
      <w:pPr>
        <w:pStyle w:val="Heading3"/>
        <w:ind w:hanging="0" w:start="0"/>
        <w:rPr/>
      </w:pPr>
      <w:r>
        <w:rPr/>
        <w:t>The Company shall cooperate with Supplier and use commercially reasonable efforts to cause the NYISO to send all invoices and statements relating to the costs of all Ancillary Services (except Rate Schedule 4 Imbalance) and NTAC associated with providing Standard Offer Service Consumption pursuant to this Agreement directly to the Company and to bill the Company directly for all such costs. To the extent that Supplier is billed by the NYISO for such costs, the Company shall reimburse Supplier for all such costs incurred by Supplier. To the extent that the Company is billed directly by the NYISO for such costs, the Company shall not be obligated to pay the amount of such costs to Supplier pursuant to clause (a)(i)(C) of Article 5.</w:t>
      </w:r>
    </w:p>
    <w:p>
      <w:pPr>
        <w:pStyle w:val="Heading3"/>
        <w:ind w:hanging="0" w:start="0"/>
        <w:rPr/>
      </w:pPr>
      <w:r>
        <w:rPr/>
        <w:t>As Transmission Owner under the NYISO, the Company shall be responsible for reporting the metered Load increased for losses and adjusted for Load Modifiers and unaccounted Energy to the NYISO by SubZone.</w:t>
      </w:r>
    </w:p>
    <w:p>
      <w:pPr>
        <w:pStyle w:val="Heading3"/>
        <w:ind w:hanging="0" w:start="0"/>
        <w:rPr/>
      </w:pPr>
      <w:r>
        <w:rPr/>
        <w:t xml:space="preserve">The Company shall provide to Supplier at the end of each hour instantaneous SubZone Corporate Load. </w:t>
      </w:r>
    </w:p>
    <w:p>
      <w:pPr>
        <w:pStyle w:val="Heading3"/>
        <w:ind w:hanging="0" w:start="0"/>
        <w:rPr/>
      </w:pPr>
      <w:r>
        <w:rPr/>
        <w:t>The Company shall calculate the Preliminary Standard Offer Service Counterparty Load and any applicable Price Correction for each month to be used for billing and payment as described in Article 6.</w:t>
      </w:r>
    </w:p>
    <w:p>
      <w:pPr>
        <w:pStyle w:val="Heading3"/>
        <w:ind w:hanging="0" w:start="0"/>
        <w:rPr/>
      </w:pPr>
      <w:r>
        <w:rPr/>
        <w:t>The Company shall provide Supplier with schedules of NYPA Non-Residential Power in electronic form as soon as reasonably practicable after such schedules are available.</w:t>
      </w:r>
    </w:p>
    <w:p>
      <w:pPr>
        <w:pStyle w:val="Heading3"/>
        <w:ind w:hanging="0" w:start="0"/>
        <w:rPr/>
      </w:pPr>
      <w:r>
        <w:rPr/>
        <w:t>The Company shall cause the NYPA Residential Power to be scheduled and allocated to satisfy Standard Offer Service Consumption; provided, however, that to the extent NYPA Residential Power exceeds Standard Offer Service Consumption, the Company may allocate such excess NYPA Residential Power in its sole discretion, subject to any applicable regulations governing allocations of NYPA Power.</w:t>
      </w:r>
    </w:p>
    <w:p>
      <w:pPr>
        <w:pStyle w:val="Heading3"/>
        <w:ind w:hanging="0" w:start="0"/>
        <w:rPr/>
      </w:pPr>
      <w:r>
        <w:rPr/>
        <w:t>The Company shall allocate the Small OSG as a Load Modifier (i) when the Company calculates the Standard Offer Service Counterparty Load and (ii) when the Company, as Transmission Owner, provides the NYISO with the Load for Standard Offer Service Consumption.</w:t>
      </w:r>
    </w:p>
    <w:p>
      <w:pPr>
        <w:pStyle w:val="Heading3"/>
        <w:ind w:hanging="0" w:start="0"/>
        <w:rPr/>
      </w:pPr>
      <w:r>
        <w:rPr/>
        <w:t>To the extent and in each instance that the Company determines in accordance with the Tariff that it will move customers off Standard Offer Service, the Company shall provide Supplier with fifteen (15) days’ prior written notice of the quantity of kilowatt-hours of Standard Offer Service Consumption to be moved (the "Migration Quantity").  The Company shall not move such customers, if any, as are necessary to accommodate the amount of Migration Quantity which Supplier advises the Company in writing within ten (10) days of receipt of such notice not to move.</w:t>
      </w:r>
    </w:p>
    <w:p>
      <w:pPr>
        <w:pStyle w:val="Heading3"/>
        <w:ind w:hanging="0" w:start="0"/>
        <w:rPr/>
      </w:pPr>
      <w:r>
        <w:rPr/>
        <w:t xml:space="preserve">The Company shall obtain, and shall provide to Supplier, all applicable sales tax exemption certificates required under the laws of the State of New York. </w:t>
      </w:r>
    </w:p>
    <w:p>
      <w:pPr>
        <w:pStyle w:val="Normal"/>
        <w:rPr/>
      </w:pPr>
      <w:r>
        <w:rPr/>
      </w:r>
    </w:p>
    <w:p>
      <w:pPr>
        <w:pStyle w:val="Heading1"/>
        <w:keepLines w:val="false"/>
        <w:ind w:hanging="0" w:start="0"/>
        <w:rPr/>
      </w:pPr>
      <w:r>
        <w:rPr/>
        <w:br/>
      </w:r>
      <w:bookmarkStart w:id="8" w:name="__RefHeading___Toc509734699"/>
      <w:r>
        <w:rPr/>
        <w:t>PRICE</w:t>
      </w:r>
      <w:bookmarkEnd w:id="8"/>
    </w:p>
    <w:p>
      <w:pPr>
        <w:pStyle w:val="Heading3"/>
        <w:ind w:hanging="0" w:start="0"/>
        <w:rPr/>
      </w:pPr>
      <w:r>
        <w:rPr/>
        <w:t xml:space="preserve">For the All-Requirements Service that Supplier provides in each month, as determined in accordance with Article 4: </w:t>
      </w:r>
    </w:p>
    <w:p>
      <w:pPr>
        <w:pStyle w:val="Heading4"/>
        <w:keepNext w:val="false"/>
        <w:ind w:hanging="0" w:start="0"/>
        <w:rPr/>
      </w:pPr>
      <w:r>
        <w:rPr/>
        <w:t>the Company shall pay Supplier for the month an amount equal to (A) for each Subzone, the aggregate for all  hours of the month  of the product of (I) the lessor of (x) the EHV Rate Load and (y) the Preliminary Standard Offer Service Counterparty Load times (II) the Standard Offer Service EHV Rate, plus (B) for each Subzone, the aggregate  for all hours of the month of the product of (I) the Market Price Load times (II) the Subzone Market Price, plus (C) the Transmission Congestion Contract Revenue plus (D) the costs of all Ancillary Services (except Rate Schedule 4 Imbalance) and NTAC to be reimbursed by the Company pursuant to paragraph (a) of Article 4 hereof, to the extent such costs are not billed directly to the Company as provided in paragraph (i) of Article 4; provided, however, that in the event and to the extent that the Preliminary Standard Offer Service Counterparty Load in any one or more SubZones is a negative number, the aggregate amount  calculated in clause (A) shall be reduced but shall never be less than zero;</w:t>
      </w:r>
    </w:p>
    <w:p>
      <w:pPr>
        <w:pStyle w:val="Heading4"/>
        <w:keepNext w:val="false"/>
        <w:ind w:hanging="0" w:start="0"/>
        <w:rPr/>
      </w:pPr>
      <w:r>
        <w:rPr/>
        <w:t xml:space="preserve">Supplier shall pay to the Company the sum of (A) the TUCs associated with delivery of Energy associated with the NYPA Residential Power, as calculated by the Company based on any applicable invoice from the NYISO, plus (B) the Amortized TCC Costs, plus (C) any applicable Negawatt Payment for such month, plus (D) any applicable Voluntary Price Responsive Load Payment; [and] </w:t>
      </w:r>
    </w:p>
    <w:p>
      <w:pPr>
        <w:pStyle w:val="Heading4"/>
        <w:keepNext w:val="false"/>
        <w:ind w:hanging="0" w:start="0"/>
        <w:rPr/>
      </w:pPr>
      <w:r>
        <w:rPr>
          <w:b/>
          <w:i/>
        </w:rPr>
        <w:t>[Retain pursuant to Bid Options</w:t>
      </w:r>
      <w:r>
        <w:rPr/>
        <w:t xml:space="preserve"> </w:t>
      </w:r>
      <w:r>
        <w:rPr>
          <w:b/>
          <w:i/>
        </w:rPr>
        <w:t>1a, 1b and 1c; delete pursuant to Bid Options 2a, 2b and 2c—</w:t>
      </w:r>
      <w:r>
        <w:rPr/>
        <w:t xml:space="preserve"> In the event that in any hour the EHV Rate Load exceeds the Standard Offer Service Counterparty Load, </w:t>
      </w:r>
    </w:p>
    <w:p>
      <w:pPr>
        <w:pStyle w:val="Heading5"/>
        <w:ind w:hanging="0" w:start="0"/>
        <w:rPr/>
      </w:pPr>
      <w:r>
        <w:rPr/>
        <w:t xml:space="preserve">Supplier shall pay to the Company (A) prior to January 1, 2004, the product of (I) the greater of (x) the EHV Rate Load minus the Standard Offer Service Counterparty Load and (y) the Preliminary ESCo Standard Offer Service Load, times (II) the Market Price, and (B) thereafter, the product of (I) the lesser of (x) the EHV Rate Load minus the Standard Offer Service Counterparty Load and (y) the  Preliminary ESCo Standard Offer Service Load, times (II) the Market Price; and </w:t>
      </w:r>
    </w:p>
    <w:p>
      <w:pPr>
        <w:pStyle w:val="Heading5"/>
        <w:ind w:hanging="0" w:start="0"/>
        <w:rPr/>
      </w:pPr>
      <w:r>
        <w:rPr/>
        <w:t xml:space="preserve">the Company shall pay Supplier (A) prior to January 1, 2004, the product of (I) the greater of (x) the EHV Rate Load minus the Standard Offer Service Counterparty Load and (y) the ESCo Standard Offer Service Load, times (II) the Standard Offer Service EHV Rate, and (B) thereafter, the product of (I) the lesser of (x) the EHV Rate Load minus the Standard Offer Service Counterparty Load and (y) the ESCo Standard Offer Service Load, times (II) the Standard Offer Service EHV Rate.] [and]   </w:t>
      </w:r>
    </w:p>
    <w:p>
      <w:pPr>
        <w:pStyle w:val="Heading4"/>
        <w:keepNext w:val="false"/>
        <w:ind w:hanging="0" w:start="0"/>
        <w:rPr/>
      </w:pPr>
      <w:r>
        <w:rPr/>
        <w:t>as applicable, Supplier or the Company shall pay the other the Price Correction, where "</w:t>
      </w:r>
      <w:r>
        <w:rPr>
          <w:u w:val="single"/>
        </w:rPr>
        <w:t>Price Correction</w:t>
      </w:r>
      <w:r>
        <w:rPr/>
        <w:t>" for the applicable month is a correction to the previous month's Preliminary Standard Offer Service Counterparty Load or the Standard Offer Service Counterparty Load pursuant to NYISO True-Ups, determined using the Standard Offer Service EHV Rate for the respective month that the Standard Offer Service Counterparty Load applies.</w:t>
      </w:r>
    </w:p>
    <w:p>
      <w:pPr>
        <w:pStyle w:val="Heading3"/>
        <w:ind w:hanging="0" w:start="0"/>
        <w:rPr/>
      </w:pPr>
      <w:r>
        <w:rPr/>
        <w:t>With the exception of any sales or gross receipt taxes which are required by law to be paid by customers, the Price for Standard Offer Service Consumption as set forth herein includes all applicable Taxes as of the date hereof.  Supplier shall pay any new Taxes (whether enacted by law, regulatory change or application of the law) assessed with respect to the services provided by Supplier after the Commencement Date of Service.</w:t>
      </w:r>
    </w:p>
    <w:p>
      <w:pPr>
        <w:pStyle w:val="Heading3"/>
        <w:ind w:hanging="0" w:start="0"/>
        <w:rPr/>
      </w:pPr>
      <w:r>
        <w:rPr/>
        <w:t>Supplier shall not be entitled under this Agreement to any payments for Standard Offer Service Consumption in addition to the payments made pursuant to this Article 5.</w:t>
      </w:r>
    </w:p>
    <w:p>
      <w:pPr>
        <w:pStyle w:val="Heading1"/>
        <w:keepLines w:val="false"/>
        <w:ind w:hanging="0" w:start="0"/>
        <w:rPr/>
      </w:pPr>
      <w:r>
        <w:rPr/>
        <w:br/>
      </w:r>
      <w:bookmarkStart w:id="9" w:name="__RefHeading___Toc509734700"/>
      <w:r>
        <w:rPr/>
        <w:t>PAYMENTS</w:t>
      </w:r>
      <w:bookmarkEnd w:id="9"/>
    </w:p>
    <w:p>
      <w:pPr>
        <w:pStyle w:val="Heading2"/>
        <w:keepNext w:val="false"/>
        <w:keepLines w:val="false"/>
        <w:ind w:hanging="0" w:start="0"/>
        <w:rPr>
          <w:vanish/>
          <w:color w:val="0000FF"/>
          <w:u w:val="none"/>
        </w:rPr>
      </w:pPr>
      <w:r>
        <w:rPr>
          <w:u w:val="none"/>
        </w:rPr>
        <w:tab/>
      </w:r>
      <w:bookmarkStart w:id="10" w:name="__RefHeading___Toc509734701"/>
      <w:r>
        <w:rPr/>
        <w:t>Billing and Payment</w:t>
      </w:r>
      <w:r>
        <w:rPr>
          <w:u w:val="none"/>
        </w:rPr>
        <w:t>.</w:t>
      </w:r>
      <w:bookmarkEnd w:id="10"/>
      <w:r>
        <w:rPr>
          <w:u w:val="none"/>
        </w:rPr>
        <w:t xml:space="preserve">  </w:t>
      </w:r>
    </w:p>
    <w:p>
      <w:pPr>
        <w:pStyle w:val="BodyTextFirstIndent"/>
        <w:rPr/>
      </w:pPr>
      <w:r>
        <w:rPr/>
        <w:t>Within three (3) Business Days following the end of each month, commencing on the month following the Commencement Date of Service, (i) Supplier shall provide to the Company an invoice or statement setting forth the quantity of Preliminary Standard Offer Service Counterparty Load, any applicable Price Correction, the respective Standard Offer Service EHV Rate and the Price for such month, and any  applicable Negawatt Payment and/or Voluntary Price Responsive Load Payment for such month and (ii) the Company shall provide to Supplier an invoice or statement setting forth the TUCs associated with the delivery of Energy associated with the NYPA Residential Power for such month.  Within twenty-five (25) days following the end of each month (the "</w:t>
      </w:r>
      <w:r>
        <w:rPr>
          <w:u w:val="single"/>
        </w:rPr>
        <w:t>Due Date</w:t>
      </w:r>
      <w:r>
        <w:rPr/>
        <w:t>")the Company or Supplier, as applicable, shall pay the amount due pursuant to such invoices or statements. All payments required under this Agreement shall be paid in cash by wire transfer of immediately available funds to an account designated by the Party to receive such payment.</w:t>
      </w:r>
    </w:p>
    <w:p>
      <w:pPr>
        <w:pStyle w:val="Heading2"/>
        <w:keepNext w:val="false"/>
        <w:keepLines w:val="false"/>
        <w:ind w:hanging="0" w:start="0"/>
        <w:rPr>
          <w:vanish/>
          <w:color w:val="0000FF"/>
        </w:rPr>
      </w:pPr>
      <w:r>
        <w:rPr>
          <w:u w:val="none"/>
        </w:rPr>
        <w:tab/>
      </w:r>
      <w:bookmarkStart w:id="11" w:name="__RefHeading___Toc509734702"/>
      <w:r>
        <w:rPr/>
        <w:t>Overdue Payments</w:t>
      </w:r>
      <w:r>
        <w:rPr>
          <w:u w:val="none"/>
        </w:rPr>
        <w:t>.</w:t>
      </w:r>
      <w:bookmarkEnd w:id="11"/>
      <w:r>
        <w:rPr>
          <w:u w:val="none"/>
        </w:rPr>
        <w:t xml:space="preserve">  </w:t>
      </w:r>
    </w:p>
    <w:p>
      <w:pPr>
        <w:pStyle w:val="BodyTextFirstIndent"/>
        <w:rPr/>
      </w:pPr>
      <w:r>
        <w:rPr/>
        <w:t>Payments that are not paid when due shall accrue interest at the Interest Rate from and including the Due Date to but excluding the date of payment, and are subject to additional interest as provided in Section 8.02(d).</w:t>
      </w:r>
    </w:p>
    <w:p>
      <w:pPr>
        <w:pStyle w:val="Heading2"/>
        <w:keepNext w:val="false"/>
        <w:keepLines w:val="false"/>
        <w:ind w:hanging="0" w:start="0"/>
        <w:rPr>
          <w:vanish/>
          <w:color w:val="0000FF"/>
        </w:rPr>
      </w:pPr>
      <w:r>
        <w:rPr>
          <w:u w:val="none"/>
        </w:rPr>
        <w:tab/>
      </w:r>
      <w:bookmarkStart w:id="12" w:name="__RefHeading___Toc509734703"/>
      <w:r>
        <w:rPr/>
        <w:t>Billing Disputes</w:t>
      </w:r>
      <w:r>
        <w:rPr>
          <w:u w:val="none"/>
        </w:rPr>
        <w:t>.</w:t>
      </w:r>
      <w:bookmarkEnd w:id="12"/>
      <w:r>
        <w:rPr>
          <w:u w:val="none"/>
        </w:rPr>
        <w:t xml:space="preserve">  </w:t>
      </w:r>
    </w:p>
    <w:p>
      <w:pPr>
        <w:pStyle w:val="BodyTextFirstIndent"/>
        <w:rPr/>
      </w:pPr>
      <w:r>
        <w:rPr/>
        <w:t>If either Party in good faith disputes an invoice or statement delivered hereunder, the disputing Party shall notify the other Party in writing within seven (7) Business Days of receipt of the invoice or statement of the basis for the dispute and pay the entire amount of such invoice or statement no later than the Due Date. The Party receiving payment shall hold the amount in dispute in escrow until the resolution of such dispute.  If any amount in dispute is ultimately determined (under the terms herein) to be due to the disputing Party, it shall be returned to the disputing Party within three (3) Business Days of such determination along with interest accrued at the Interest Rate until the date paid.  Inadvertent overpayments shall be returned by the receiving Party upon request or deducted by the receiving Party from subsequent invoices, with interest accrued at the Interest Rate until the date paid or deducted.</w:t>
      </w:r>
    </w:p>
    <w:p>
      <w:pPr>
        <w:pStyle w:val="Heading2"/>
        <w:keepNext w:val="false"/>
        <w:keepLines w:val="false"/>
        <w:ind w:hanging="0" w:start="0"/>
        <w:rPr>
          <w:vanish/>
          <w:color w:val="0000FF"/>
          <w:u w:val="none"/>
        </w:rPr>
      </w:pPr>
      <w:r>
        <w:rPr>
          <w:u w:val="none"/>
        </w:rPr>
        <w:tab/>
      </w:r>
      <w:bookmarkStart w:id="13" w:name="__RefHeading___Toc509734704"/>
      <w:r>
        <w:rPr/>
        <w:t>Netting of Payments</w:t>
      </w:r>
      <w:r>
        <w:rPr>
          <w:u w:val="none"/>
        </w:rPr>
        <w:t>.</w:t>
      </w:r>
      <w:bookmarkEnd w:id="13"/>
      <w:r>
        <w:rPr>
          <w:u w:val="none"/>
        </w:rPr>
        <w:t xml:space="preserve">  </w:t>
      </w:r>
    </w:p>
    <w:p>
      <w:pPr>
        <w:pStyle w:val="BodyTextFirstIndent"/>
        <w:rPr/>
      </w:pPr>
      <w:r>
        <w:rPr/>
        <w:t>Any payments to be made by either Party hereunder shall be netted against any payments or other amounts due from the other Party under this Agreement and the Purchase Agreement so that only the net amount, if any, shall be paid by the Party owing such amount for such month.</w:t>
      </w:r>
    </w:p>
    <w:p>
      <w:pPr>
        <w:pStyle w:val="Heading1"/>
        <w:keepNext w:val="false"/>
        <w:keepLines w:val="false"/>
        <w:spacing w:before="0" w:after="360"/>
        <w:ind w:hanging="0" w:start="0"/>
        <w:rPr/>
      </w:pPr>
      <w:r>
        <w:rPr/>
        <w:br/>
      </w:r>
      <w:bookmarkStart w:id="14" w:name="__RefHeading___Toc509734705"/>
      <w:r>
        <w:rPr/>
        <w:t xml:space="preserve">[SECURITY; CREDIT SUPPORT] </w:t>
      </w:r>
      <w:bookmarkEnd w:id="14"/>
    </w:p>
    <w:p>
      <w:pPr>
        <w:pStyle w:val="Normal"/>
        <w:ind w:firstLine="720" w:end="0"/>
        <w:rPr/>
      </w:pPr>
      <w:r>
        <w:rPr/>
        <w:t>[In accordance with the bid instructions, provide the nature and amount of financial security and terms therefor to be provided by Supplier to the Company.]</w:t>
      </w:r>
    </w:p>
    <w:p>
      <w:pPr>
        <w:pStyle w:val="Heading1"/>
        <w:keepLines w:val="false"/>
        <w:ind w:hanging="0" w:start="0"/>
        <w:rPr/>
      </w:pPr>
      <w:r>
        <w:rPr/>
        <w:br/>
      </w:r>
      <w:bookmarkStart w:id="15" w:name="__RefHeading___Toc509734706"/>
      <w:r>
        <w:rPr/>
        <w:t>EVENTS OF DEFAULT; REMEDIES</w:t>
      </w:r>
      <w:bookmarkEnd w:id="15"/>
    </w:p>
    <w:p>
      <w:pPr>
        <w:pStyle w:val="Heading2"/>
        <w:keepLines w:val="false"/>
        <w:ind w:hanging="0" w:start="0"/>
        <w:rPr>
          <w:vanish/>
          <w:color w:val="000080"/>
          <w:u w:val="none"/>
        </w:rPr>
      </w:pPr>
      <w:r>
        <w:rPr>
          <w:u w:val="none"/>
        </w:rPr>
        <w:tab/>
      </w:r>
      <w:bookmarkStart w:id="16" w:name="__RefHeading___Toc509734707"/>
      <w:r>
        <w:rPr/>
        <w:t>Events of Default</w:t>
      </w:r>
      <w:r>
        <w:rPr>
          <w:u w:val="none"/>
        </w:rPr>
        <w:t>.</w:t>
      </w:r>
      <w:bookmarkEnd w:id="16"/>
      <w:r>
        <w:rPr>
          <w:u w:val="none"/>
        </w:rPr>
        <w:t xml:space="preserve">  </w:t>
      </w:r>
    </w:p>
    <w:p>
      <w:pPr>
        <w:pStyle w:val="BodyTextFirstIndent"/>
        <w:rPr>
          <w:rFonts w:eastAsia="MS Mincho;ＭＳ 明朝"/>
        </w:rPr>
      </w:pPr>
      <w:r>
        <w:rPr>
          <w:rFonts w:eastAsia="MS Mincho;ＭＳ 明朝"/>
        </w:rPr>
        <w:t>Any one or more of the following events with respect to either Party shall constitute an "Event of Default" hereunder with respect to such Party:</w:t>
      </w:r>
    </w:p>
    <w:p>
      <w:pPr>
        <w:pStyle w:val="Heading3"/>
        <w:ind w:hanging="0" w:start="0"/>
        <w:rPr/>
      </w:pPr>
      <w:r>
        <w:rPr/>
        <w:t>Failure of such Party to pay when due any amount due hereunder and such failure is not remedied within three (3) days;</w:t>
      </w:r>
    </w:p>
    <w:p>
      <w:pPr>
        <w:pStyle w:val="Heading3"/>
        <w:ind w:hanging="0" w:start="0"/>
        <w:rPr/>
      </w:pPr>
      <w:r>
        <w:rPr/>
        <w:t>Failure of such Party, in a material respect, to comply with, observe or perform any covenant or obligation under this Agreement (other than the events that are otherwise specifically covered in this Article 8 as a separate Event of Default) and such failure is not cured within three (3) days;</w:t>
      </w:r>
    </w:p>
    <w:p>
      <w:pPr>
        <w:pStyle w:val="Heading3"/>
        <w:ind w:hanging="0" w:start="0"/>
        <w:rPr/>
      </w:pPr>
      <w:r>
        <w:rPr/>
        <w:t xml:space="preserve">The entry by a court having jurisdiction in the premises of (i) a decree or order for relief in respect of either Party or any Specified Entity in an involuntary case or proceeding under any applicable federal or state bankruptcy, insolvency, reorganization or other similar law or (ii) a decree or order adjudging either Party or any Specified Entity a bankrupt or insolvent, or approving as properly filed a petition seeking reorganization, arrangement, adjustment or composition of or in respect of either Party or any Specified Entity under any applicable federal or state law, or appointing a custodian, receiver, liquidator, assignee, trustee, sequestrator or other similar official of either Party or any Specified Entity or of any substantial part of its property, or ordering the winding up or liquidation of its affairs, and the continuance of any such decree or order for relief or any such other decree or order unstayed and in effect for a period of 30 consecutive days; </w:t>
      </w:r>
    </w:p>
    <w:p>
      <w:pPr>
        <w:pStyle w:val="Heading3"/>
        <w:ind w:hanging="0" w:start="0"/>
        <w:rPr/>
      </w:pPr>
      <w:r>
        <w:rPr/>
        <w:t>The commencement by such Party or any Specified Entity of a voluntary case or proceeding under any applicable federal or state bankruptcy, insolvency, reorganization or other similar law, or of any other case or proceeding to be adjudicated a bankrupt or insolvent, or the consent by it to the entry of a decree or order for relief in respect of such Party or any Specified Entity in an involuntary case or proceeding under any applicable federal or state bankruptcy, insolvency, reorganization or other similar law or to the commencement of any bankruptcy or insolvency case or proceeding against it, or the filing by it of a petition or answer or consent seeking reorganization or relief under any applicable federal or state law, or the consent by it to the filing of such petition or to the appointment of or taking possession by a custodian, receiver, liquidator, assignee, trustee, sequestrator or other similar official of either Party or any Specified Entity or of any substantial part of its property, or the making by it of an assignment for the benefit of creditors, or the admission by it in writing of its inability to pay its debts generally as they become due, or the taking of corporate action by such Party or any Specified Entity in furtherance of any such action;</w:t>
      </w:r>
    </w:p>
    <w:p>
      <w:pPr>
        <w:pStyle w:val="Heading3"/>
        <w:ind w:hanging="0" w:start="0"/>
        <w:rPr/>
      </w:pPr>
      <w:r>
        <w:rPr/>
        <w:t>Any representation or warranty made by such Party herein is or becomes false or misleading in any material respect;</w:t>
      </w:r>
    </w:p>
    <w:p>
      <w:pPr>
        <w:pStyle w:val="Heading3"/>
        <w:ind w:hanging="0" w:start="0"/>
        <w:rPr/>
      </w:pPr>
      <w:r>
        <w:rPr/>
        <w:t>An "Event of Default" (as defined in the Purchase Agreement), on the part of "Purchaser" (as defined in the Purchase Agreement) has occurred and is continuing under the Purchase Agreement (such "Event of Default" on the part of "Purchaser" shall constitute an Event of Default on the part of Supplier hereunder);</w:t>
      </w:r>
    </w:p>
    <w:p>
      <w:pPr>
        <w:pStyle w:val="Heading3"/>
        <w:ind w:hanging="0" w:start="0"/>
        <w:rPr/>
      </w:pPr>
      <w:r>
        <w:rPr/>
        <w:t>Failure of Supplier at any time to be (i) the LSE for Standard Offer Service Consumption, except for NYPA Residential Power, and a participant in NYISO’s wholesale market settlement process or (ii) in compliance with the NYISO’s rules, regulations and policies if such failure wold materially affect the ability of Supplier to perform its obligations hereunder; or</w:t>
      </w:r>
    </w:p>
    <w:p>
      <w:pPr>
        <w:pStyle w:val="Heading3"/>
        <w:ind w:hanging="0" w:start="0"/>
        <w:rPr/>
      </w:pPr>
      <w:r>
        <w:rPr/>
        <w:t>[Failure of Supplier to maintain any of the security requirements set forth in Article 7, and such failure is not cured within three (3) days.]</w:t>
      </w:r>
    </w:p>
    <w:p>
      <w:pPr>
        <w:pStyle w:val="Heading2"/>
        <w:ind w:hanging="0" w:start="0"/>
        <w:rPr>
          <w:vanish/>
          <w:color w:val="0000FF"/>
        </w:rPr>
      </w:pPr>
      <w:r>
        <w:rPr>
          <w:u w:val="none"/>
        </w:rPr>
        <w:tab/>
      </w:r>
      <w:bookmarkStart w:id="17" w:name="__RefHeading___Toc509734708"/>
      <w:r>
        <w:rPr/>
        <w:t>Remedies Upon Default</w:t>
      </w:r>
      <w:r>
        <w:rPr>
          <w:u w:val="none"/>
        </w:rPr>
        <w:t>.</w:t>
      </w:r>
      <w:bookmarkEnd w:id="17"/>
      <w:r>
        <w:rPr>
          <w:u w:val="none"/>
        </w:rPr>
        <w:t xml:space="preserve">  </w:t>
      </w:r>
    </w:p>
    <w:p>
      <w:pPr>
        <w:pStyle w:val="BodyTextFirstIndent"/>
        <w:rPr>
          <w:rFonts w:eastAsia="MS Mincho;ＭＳ 明朝"/>
        </w:rPr>
      </w:pPr>
      <w:r>
        <w:rPr>
          <w:rFonts w:eastAsia="MS Mincho;ＭＳ 明朝"/>
        </w:rPr>
        <w:t>The Parties shall have the following remedies available to them with respect to the occurrence of an Event of Default with respect to the other Party hereunder:</w:t>
      </w:r>
    </w:p>
    <w:p>
      <w:pPr>
        <w:pStyle w:val="Heading3"/>
        <w:ind w:firstLine="1440" w:start="0" w:end="0"/>
        <w:rPr/>
      </w:pPr>
      <w:r>
        <w:rPr/>
        <w:t>Upon the occurrence of an Event of Default (other than an Event of Default pursuant to Sections 8.01(c), (d) or (g))</w:t>
      </w:r>
      <w:r>
        <w:rPr>
          <w:b/>
        </w:rPr>
        <w:t xml:space="preserve"> </w:t>
      </w:r>
      <w:r>
        <w:rPr/>
        <w:t>with respect to a Party hereunder, the non-defaulting Party shall have the right to (i) continue performance under this Agreement and exercise such rights and remedies as it may have at law, in equity or under this Agreement and (ii) at its option, give such defaulting Party a written notice (a "</w:t>
      </w:r>
      <w:r>
        <w:rPr>
          <w:u w:val="single"/>
        </w:rPr>
        <w:t>Default</w:t>
      </w:r>
      <w:r>
        <w:rPr/>
        <w:t xml:space="preserve"> </w:t>
      </w:r>
      <w:r>
        <w:rPr>
          <w:u w:val="single"/>
        </w:rPr>
        <w:t>Notice</w:t>
      </w:r>
      <w:r>
        <w:rPr/>
        <w:t>") demanding that the defaulting Party cure such Event of Default.  If the defaulting Party fails to cure such Event of Default within ten (10) days after its receipt of the Default Notice, the non-defaulting Party shall have the right to terminate this Agreement, in which case a settlement payment equal to the Loss (as defined below) shall be due and payable within one (1) Business Day (A) from the defaulting Party to the non-defaulting Party, if such Loss is a positive number or (B) from the non-defaulting Party to the defaulting Party, if such Loss is a negative number.  "</w:t>
      </w:r>
      <w:r>
        <w:rPr>
          <w:u w:val="single"/>
        </w:rPr>
        <w:t>Loss</w:t>
      </w:r>
      <w:r>
        <w:rPr/>
        <w:t xml:space="preserve">" means the amount that the non-defaulting Party reasonably determines in good faith to be its total losses and costs (or gains, in which case expressed as a negative number) in connection with the termination of this Agreement, including (x) any loss of bargain, cost of funding or, at the election of such non-defaulting Party but without duplication, loss or cost incurred as a result of its obtaining or establishing any replacement for this Agreement, and (y) any losses and costs (or gains, in which case expressed as a negative number) in respect of any payment or delivery required to have been made but not made on or before the time of such termination.  </w:t>
      </w:r>
    </w:p>
    <w:p>
      <w:pPr>
        <w:pStyle w:val="Heading3"/>
        <w:ind w:hanging="0" w:start="0"/>
        <w:rPr/>
      </w:pPr>
      <w:r>
        <w:rPr/>
        <w:t>Upon the occurrence of an Event of Default pursuant to Sections 8.01(c), (d) or (g) with respect to a Party hereunder, this Agreement shall immediately and automatically be liquidated and terminated, in which case a settlement payment equal to the Loss shall be due and payable within one (1) Business Day (A) from the defaulting Party to the non-defaulting Party, if such Loss is a positive number or (B) from the non-defaulting Party to the defaulting Party, if such Loss is a negative number.</w:t>
      </w:r>
    </w:p>
    <w:p>
      <w:pPr>
        <w:pStyle w:val="Heading3"/>
        <w:ind w:hanging="0" w:start="0"/>
        <w:rPr/>
      </w:pPr>
      <w:r>
        <w:rPr/>
        <w:t>Nothing in this Article 8 shall be construed to limit the right of any Party to seek any remedies for a breach specified in this Agreement by the other Party of its obligations hereunder, whether or not such breach results in a termination of this Agreement under this Article 8 and whether or not such breach is cured after the times set forth for such cure in Section 8.01, or during any period during which the non-breaching Party elects not to exercise its right to terminate this Agreement.  The Parties expressly agree that at any time after the occurrence of an Event of Default where Supplier is the defaulting Party, the Company may exercise its rights under the credit support provided under Article 7 to collect any and all amounts owed and due from the Supplier under this Agreement.</w:t>
      </w:r>
    </w:p>
    <w:p>
      <w:pPr>
        <w:pStyle w:val="Heading3"/>
        <w:ind w:hanging="0" w:start="0"/>
        <w:rPr/>
      </w:pPr>
      <w:r>
        <w:rPr/>
        <w:t>Upon the occurrence of an Event of Default pursuant to Section 8.01(a), any overdue amounts shall bear interest at the Interest Rate plus 500 basis points compounded daily (to the extent that the payment of such interest shall be legally enforceable), from and including the date of such Event of Default to but excluding the date such amounts are paid.</w:t>
      </w:r>
    </w:p>
    <w:p>
      <w:pPr>
        <w:pStyle w:val="Heading3"/>
        <w:ind w:hanging="0" w:start="0"/>
        <w:rPr/>
      </w:pPr>
      <w:r>
        <w:rPr/>
        <w:t>Notwithstanding any other provision of this Agreement, the fact that a Party has cured an Event of Default within the period provided therefor in Section 8.02(a) shall not release such defaulting Party from its liability to compensate the non-defaulting Party for any claims, demands, suits, losses, liabilities, damages, obligations, payments, costs and expenses (including the costs and expenses of any and all actions, suits, proceedings, assessments, judgments, settlements and compromises relating thereto and reasonable attorneys' fees and reasonable disbursements in connection therewith) relating to, arising out of or resulting from such Event of Default or any failure to observe or perform any covenant or obligation under this Agreement.</w:t>
      </w:r>
    </w:p>
    <w:p>
      <w:pPr>
        <w:pStyle w:val="Heading1"/>
        <w:keepLines w:val="false"/>
        <w:ind w:hanging="0" w:start="0"/>
        <w:rPr/>
      </w:pPr>
      <w:r>
        <w:rPr/>
        <w:br/>
      </w:r>
      <w:bookmarkStart w:id="18" w:name="__RefHeading___Toc509734709"/>
      <w:r>
        <w:rPr/>
        <w:t>ASSIGNMENT</w:t>
      </w:r>
      <w:bookmarkEnd w:id="18"/>
    </w:p>
    <w:p>
      <w:pPr>
        <w:pStyle w:val="BodyTextFirstIndent"/>
        <w:rPr/>
      </w:pPr>
      <w:r>
        <w:rPr/>
        <w:t>This Agreement and all of the provisions hereof shall be binding upon and inure to the benefit of the Parties hereto and their respective successors and permitted assigns, but neither this Agreement nor any of the rights, interests or obligations hereunder shall be assigned by any Party hereto, including by operation of law, without the prior written consent of the other Party, nor is this Agreement intended to confer upon any other Person except the Parties hereto any rights or remedies hereunder.</w:t>
      </w:r>
    </w:p>
    <w:p>
      <w:pPr>
        <w:pStyle w:val="Heading1"/>
        <w:keepLines w:val="false"/>
        <w:tabs>
          <w:tab w:val="clear" w:pos="720"/>
          <w:tab w:val="left" w:pos="3240" w:leader="none"/>
        </w:tabs>
        <w:ind w:hanging="0" w:start="0"/>
        <w:rPr/>
      </w:pPr>
      <w:r>
        <w:rPr/>
        <w:br/>
      </w:r>
      <w:bookmarkStart w:id="19" w:name="__RefHeading___Toc509734710"/>
      <w:r>
        <w:rPr/>
        <w:t>ACCESS TO INFORMATION</w:t>
      </w:r>
      <w:bookmarkEnd w:id="19"/>
    </w:p>
    <w:p>
      <w:pPr>
        <w:pStyle w:val="Heading3"/>
        <w:ind w:hanging="0" w:start="0"/>
        <w:rPr/>
      </w:pPr>
      <w:r>
        <w:rPr/>
        <w:t>Each Party will, during ordinary business hours and upon reasonable notice, give the other Party and its officers, employees, counsel, environmental consultants, financial advisors and other authorized representatives (each such Person, a "</w:t>
      </w:r>
      <w:r>
        <w:rPr>
          <w:u w:val="single"/>
        </w:rPr>
        <w:t>Party Representative</w:t>
      </w:r>
      <w:r>
        <w:rPr/>
        <w:t xml:space="preserve">") reasonable access to all books and records of such Party relating to the Standard Offer Service to the extent necessary in order to verify the accuracy of any statement, invoice, charge or computation made pursuant to this Agreement.  </w:t>
      </w:r>
    </w:p>
    <w:p>
      <w:pPr>
        <w:pStyle w:val="Heading3"/>
        <w:ind w:hanging="0" w:start="0"/>
        <w:rPr/>
      </w:pPr>
      <w:r>
        <w:rPr/>
        <w:t>Supplier shall retain all information furnished to or obtained by Supplier pursuant to this Agreement for a period of six (6) years from the date such information is furnished or obtained and, subject to the provisions of Section 15.10, shall make such information available for inspection as required by any Governmental Authority or the NYISO.</w:t>
      </w:r>
    </w:p>
    <w:p>
      <w:pPr>
        <w:pStyle w:val="Heading3"/>
        <w:ind w:hanging="0" w:start="0"/>
        <w:rPr>
          <w:b/>
        </w:rPr>
      </w:pPr>
      <w:r>
        <w:rPr/>
        <w:t>Any inspection by a Party or Party Representatives pursuant to this Article 10 shall be at such Party’s own expense, and shall be subject to the other Party’s rules, regulations and guidelines.</w:t>
      </w:r>
    </w:p>
    <w:p>
      <w:pPr>
        <w:pStyle w:val="Heading1"/>
        <w:keepLines w:val="false"/>
        <w:ind w:hanging="0" w:start="0"/>
        <w:rPr/>
      </w:pPr>
      <w:r>
        <w:rPr/>
        <w:br/>
      </w:r>
      <w:bookmarkStart w:id="20" w:name="__RefHeading___Toc509734711"/>
      <w:r>
        <w:rPr/>
        <w:t>INDEMNIFICATION; DEFENSE OF CLAIMS; LIMITATION OF REMEDIES</w:t>
      </w:r>
      <w:bookmarkEnd w:id="20"/>
    </w:p>
    <w:p>
      <w:pPr>
        <w:pStyle w:val="Heading2"/>
        <w:keepLines w:val="false"/>
        <w:ind w:hanging="0" w:start="0"/>
        <w:rPr/>
      </w:pPr>
      <w:bookmarkStart w:id="21" w:name="__RefHeading___Toc509734712"/>
      <w:bookmarkEnd w:id="21"/>
      <w:r>
        <w:rPr/>
        <w:t>Indemnification</w:t>
      </w:r>
      <w:r>
        <w:rPr>
          <w:u w:val="none"/>
        </w:rPr>
        <w:t>.</w:t>
      </w:r>
    </w:p>
    <w:p>
      <w:pPr>
        <w:pStyle w:val="Heading3"/>
        <w:ind w:hanging="0" w:start="0"/>
        <w:rPr/>
      </w:pPr>
      <w:r>
        <w:rPr/>
        <w:t>The Company will indemnify, defend and hold harmless Supplier, its officers, directors and employees from and against any and all claims, demands, suits, losses, liabilities, damages, obligations, payments, costs and expenses (including the costs and expenses of any and all actions, suits, proceedings, assessments, judgments, settlements and compromises relating thereto and reasonable attorneys' fees and reasonable disbursements in connection therewith) to the extent the foregoing are not covered by insurance (each, an "</w:t>
      </w:r>
      <w:r>
        <w:rPr>
          <w:u w:val="single"/>
        </w:rPr>
        <w:t>Indemnifiable Loss</w:t>
      </w:r>
      <w:r>
        <w:rPr/>
        <w:t>"), asserted against or suffered by such indemnified person relating to, resulting from or arising out of (i) any breach by the Company of any covenant or agreement of the Company contained in this Agreement, (ii) any claim of a third party to the extent arising from the acts or omissions of the Company or any of its employees or agents (other than Supplier and Supplier’s agents acting as agent of the Company under the Purchase Agreement) or (iii) any breach by the Company of any representation or warranty set forth in Section 15.02 hereof, except where such Indemnifiable Loss relates to, results from or arises out of the gross negligence or willful misconduct of Supplier.</w:t>
      </w:r>
    </w:p>
    <w:p>
      <w:pPr>
        <w:pStyle w:val="Heading3"/>
        <w:ind w:hanging="0" w:start="0"/>
        <w:rPr/>
      </w:pPr>
      <w:r>
        <w:rPr/>
        <w:t>Supplier will indemnify, defend and hold harmless the Company, its officers, directors and employees from and against any and all Indemnifiable Losses asserted against or suffered by such indemnified person relating to, resulting from or arising out of (i) any breach by Supplier of any covenant or agreement of Supplier contained in this Agreement, (ii) any claim of a third party to the extent arising from the acts or omissions of Supplier or any of its agents or employees (including any damage or injury to (A) the Company's property or property of third parties (including real property, personal property and including environmental damage), (B) Persons (including injuries resulting in death) or (C) any equipment, property or facilities used by Supplier, its agents, employees, contractors and suppliers, caused by or arising out of or in any way connected with this Agreement or the services performed hereunder) or (iii) any breach by Supplier of any representation or warranty set forth in Section 15.02 hereof, except where such Indemnifiable Loss relates to, results from or arises out of the gross negligence or willful misconduct of the Company.</w:t>
      </w:r>
    </w:p>
    <w:p>
      <w:pPr>
        <w:pStyle w:val="Heading3"/>
        <w:ind w:hanging="0" w:start="0"/>
        <w:rPr/>
      </w:pPr>
      <w:r>
        <w:rPr/>
        <w:t>The amount of any Indemnifiable Loss shall be reduced to take into account any net tax benefit actually recognized by the Person entitled to receive indemnification under this Agreement (the "</w:t>
      </w:r>
      <w:r>
        <w:rPr>
          <w:u w:val="single"/>
        </w:rPr>
        <w:t>Indemnitee</w:t>
      </w:r>
      <w:r>
        <w:rPr/>
        <w:t>") arising from the recognition of the Indemnifiable Loss.</w:t>
      </w:r>
    </w:p>
    <w:p>
      <w:pPr>
        <w:pStyle w:val="Heading3"/>
        <w:ind w:hanging="0" w:start="0"/>
        <w:rPr/>
      </w:pPr>
      <w:r>
        <w:rPr/>
        <w:t>The expiration, termination or extinguishment of any covenant or agreement shall not affect the Parties' obligations under this Article 11.</w:t>
      </w:r>
    </w:p>
    <w:p>
      <w:pPr>
        <w:pStyle w:val="Heading3"/>
        <w:ind w:hanging="0" w:start="0"/>
        <w:rPr/>
      </w:pPr>
      <w:r>
        <w:rPr/>
        <w:t>Supplier and the Company each agree that, notwithstanding any provisions in this Agreement to the contrary, all Parties to this Agreement retain their remedies at law or in equity with respect to breaches of this Agreement.</w:t>
      </w:r>
    </w:p>
    <w:p>
      <w:pPr>
        <w:pStyle w:val="Heading2"/>
        <w:keepNext w:val="false"/>
        <w:ind w:hanging="0" w:start="0"/>
        <w:rPr/>
      </w:pPr>
      <w:bookmarkStart w:id="22" w:name="__RefHeading___Toc509734713"/>
      <w:bookmarkEnd w:id="22"/>
      <w:r>
        <w:rPr/>
        <w:t>Defense of Claims</w:t>
      </w:r>
      <w:r>
        <w:rPr>
          <w:u w:val="none"/>
        </w:rPr>
        <w:t>.</w:t>
      </w:r>
    </w:p>
    <w:p>
      <w:pPr>
        <w:pStyle w:val="Heading3"/>
        <w:ind w:hanging="0" w:start="0"/>
        <w:rPr/>
      </w:pPr>
      <w:r>
        <w:rPr/>
        <w:t>If any Indemnitee receives notice of the assertion of any claim or of the commencement of any claim, action or proceeding made or brought by any Person who is not a Party to this Agreement or any Affiliate of a Party to this Agreement (a "</w:t>
      </w:r>
      <w:r>
        <w:rPr>
          <w:u w:val="single"/>
        </w:rPr>
        <w:t>Third Party Claim</w:t>
      </w:r>
      <w:r>
        <w:rPr/>
        <w:t>") with respect to which indemnification is to be sought from a Person required to provide indemnification under this Agreement (an “</w:t>
      </w:r>
      <w:r>
        <w:rPr>
          <w:u w:val="single"/>
        </w:rPr>
        <w:t>Indemnifying Party</w:t>
      </w:r>
      <w:r>
        <w:rPr/>
        <w:t>”), the Indemnitee will give such Indemnifying Party reasonably prompt written notice thereof, but in any event not later than ten (10) calendar days after the Indemnitee's receipt of notice of such Third Party Claim.  Such notice shall describe the nature of the Third Party Claim in reasonable detail and shall indicate the estimated amount, if practicable, of the Indemnifiable Loss that has been or may be sustained by the Indemnitee.  The Indemnifying Party will have the right to participate in or, by giving written notice to the Indemnitee, to elect to assume the defense of any Third Party Claim at such Indemnifying Party's own expense and by such Indemnifying Party's own counsel, and the Indemnitee will cooperate in good faith in such defense at the Indemnifying Party's expense.</w:t>
      </w:r>
    </w:p>
    <w:p>
      <w:pPr>
        <w:pStyle w:val="Heading3"/>
        <w:ind w:hanging="0" w:start="0"/>
        <w:rPr/>
      </w:pPr>
      <w:r>
        <w:rPr/>
        <w:t>If within ten (10) calendar days after an Indemnitee provides written notice to the Indemnifying Party of any Third Party Claim the Indemnitee receives written notice from the Indemnifying Party that such Indemnifying Party has elected to assume the defense of such Third Party Claim as provided in the last sentence of Section 11.02(a), the Indemnifying Party will not be liable for any legal expenses subsequently incurred by the Indemnitee in connection with the defense thereof; provided, however, that if the Indemnifying Party fails to take reasonable steps necessary to defend diligently such Third Party Claim within twenty (20) calendar days after receiving notice from the Indemnitee that the Indemnitee believes the Indemnifying Party has failed to take such steps, the Indemnitee may assume its own defense, and the Indemnifying Party will be liable for all reasonable expenses thereof.  Without the prior written consent of the Indemnitee, the Indemnifying Party will not enter into any settlement of any Third Party Claim which would lead to liability or create any financial or other obligation on the part of the Indemnitee for which the Indemnitee is not entitled to indemnification hereunder.  If a firm offer is made to settle a Third Party Claim without leading to liability or the creation of a financial or other obligation on the part of the Indemnitee for which the Indemnitee is not entitled to indemnification hereunder and the Indemnifying Party desires to accept and agree to such offer, the Indemnifying Party will give written notice to the Indemnitee to that effect.  If the Indemnitee fails to consent to such firm offer within ten (10) calendar days after its receipt of such notice, the Indemnitee may continue to contest or defend such Third Party Claim and, in such event, the maximum liability of the Indemnifying Party as to such Third Party Claim will be the amount of such settlement offer, plus reasonable costs and expenses paid or incurred by the Indemnitee up to the date of such notice.</w:t>
      </w:r>
    </w:p>
    <w:p>
      <w:pPr>
        <w:pStyle w:val="Heading3"/>
        <w:ind w:hanging="0" w:start="0"/>
        <w:rPr/>
      </w:pPr>
      <w:r>
        <w:rPr/>
        <w:t>Any claim by an Indemnitee on account of an Indemnifiable Loss which does not result from a Third Party Claim (a "</w:t>
      </w:r>
      <w:r>
        <w:rPr>
          <w:u w:val="single"/>
        </w:rPr>
        <w:t>Direct Claim</w:t>
      </w:r>
      <w:r>
        <w:rPr/>
        <w:t>") will be asserted by giving the Indemnifying Party reasonably prompt written notice thereof, stating the nature of such claim in reasonable detail and indicating the estimated amount, if practicable, but in any event not later than ten (10) calendar days after the Indemnitee becomes aware of such Direct Claim, and the Indemnifying Party will have a period of thirty (30) calendar days within which to respond to such Direct Claim.  If the Indemnifying Party does not respond within such thirty (30) calendar day period, the Indemnifying Party will be deemed (for the purpose hereof) to have accepted such claim.  If the Indemnifying Party rejects such claim, the Indemnitee will be free to seek enforcement of its rights to indemnification under this Agreement.</w:t>
      </w:r>
    </w:p>
    <w:p>
      <w:pPr>
        <w:pStyle w:val="Heading3"/>
        <w:ind w:hanging="0" w:start="0"/>
        <w:rPr/>
      </w:pPr>
      <w:r>
        <w:rPr/>
        <w:t>If the amount of any Indemnifiable Loss, at any time subsequent to the making of an indemnity payment in respect thereof, is reduced by recovery, settlement or otherwise under or pursuant to any insurance coverage, or pursuant to any claim, recovery, settlement or payment by or against any other entity, the amount of such reduction, less any costs, expenses or premiums incurred in connection therewith (together with interest thereon from the date of payment thereof at the Interest Rate), will promptly be repaid by the Indemnitee to the Indemnifying Party.  Upon making any indemnity payment, the Indemnifying Party will, to the extent of such indemnity payment, be subrogated to all rights of the Indemnitee against any third party in respect of the Indemnifiable Loss to which the indemnity payment relates; provided, however, that (i) the Indemnifying Party will then be in compliance with its obligations under this Agreement in respect of such Indemnifiable Loss and (ii) until the Indemnitee recovers full payment of its Indemnifiable Loss, any and all claims of the Indemnifying Party against any such third party on account of said indemnity payment is hereby made expressly subordinated and subjected in right of payment to the Indemnitee's rights against such third party.  Without limiting the generality or effect of any other provision hereof, each such Indemnitee and Indemnifying Party will duly execute upon request all instruments reasonably necessary to evidence and perfect the above-described subrogation and subordination rights.  Nothing in this Section 11.02 shall be construed to require any Party hereto to obtain or maintain any insurance coverage.</w:t>
      </w:r>
    </w:p>
    <w:p>
      <w:pPr>
        <w:pStyle w:val="Heading3"/>
        <w:ind w:hanging="0" w:start="0"/>
        <w:rPr/>
      </w:pPr>
      <w:r>
        <w:rPr/>
        <w:t>A failure to give timely notice as provided in this Section 11.02 will not affect the rights or obligations of any Party hereunder except if, and only to the extent that, as a result of such failure, the Party which was entitled to receive such notice was actually prejudiced as a result of such failure.</w:t>
      </w:r>
    </w:p>
    <w:p>
      <w:pPr>
        <w:pStyle w:val="Heading2"/>
        <w:ind w:hanging="0" w:start="0"/>
        <w:rPr>
          <w:color w:val="0000FF"/>
          <w:u w:val="none"/>
        </w:rPr>
      </w:pPr>
      <w:bookmarkStart w:id="23" w:name="__RefHeading___Toc509734714"/>
      <w:r>
        <w:rPr/>
        <w:t>Limitation of Remedies</w:t>
      </w:r>
      <w:r>
        <w:rPr>
          <w:u w:val="none"/>
        </w:rPr>
        <w:t>.</w:t>
      </w:r>
      <w:bookmarkEnd w:id="23"/>
      <w:r>
        <w:rPr>
          <w:u w:val="none"/>
        </w:rPr>
        <w:t xml:space="preserve">  </w:t>
      </w:r>
    </w:p>
    <w:p>
      <w:pPr>
        <w:pStyle w:val="BodyTextFirstIndent"/>
        <w:rPr/>
      </w:pPr>
      <w:r>
        <w:rPr/>
        <w:t>Supplier acknowledges and agrees that, notwithstanding any other provision of this Agreement, the Company will not provide Supplier with any preferential access to or use of the Company’s transmission and distribution system and that Supplier's sole and exclusive rights and remedies with regard to access to use or availability of the Company's transmission and distribution system are those rights and remedies provided pursuant to the NYISO OATT and the Tariff.</w:t>
      </w:r>
    </w:p>
    <w:p>
      <w:pPr>
        <w:pStyle w:val="Heading1"/>
        <w:keepNext w:val="false"/>
        <w:keepLines w:val="false"/>
        <w:ind w:hanging="0" w:start="0"/>
        <w:rPr/>
      </w:pPr>
      <w:r>
        <w:rPr>
          <w:u w:val="none"/>
        </w:rPr>
        <w:br/>
      </w:r>
      <w:bookmarkStart w:id="24" w:name="__RefHeading___Toc509734715"/>
      <w:r>
        <w:rPr/>
        <w:t>LEGAL PROCEEDINGS</w:t>
      </w:r>
      <w:bookmarkEnd w:id="24"/>
    </w:p>
    <w:p>
      <w:pPr>
        <w:pStyle w:val="Heading2"/>
        <w:keepNext w:val="false"/>
        <w:keepLines w:val="false"/>
        <w:ind w:hanging="0" w:start="0"/>
        <w:rPr>
          <w:vanish/>
          <w:color w:val="0000FF"/>
          <w:u w:val="none"/>
        </w:rPr>
      </w:pPr>
      <w:bookmarkStart w:id="25" w:name="__RefHeading___Toc509734716"/>
      <w:r>
        <w:rPr/>
        <w:t>Submission to Jurisdiction</w:t>
      </w:r>
      <w:r>
        <w:rPr>
          <w:u w:val="none"/>
        </w:rPr>
        <w:t>.</w:t>
      </w:r>
      <w:bookmarkEnd w:id="25"/>
      <w:r>
        <w:rPr>
          <w:u w:val="none"/>
        </w:rPr>
        <w:t xml:space="preserve">  </w:t>
      </w:r>
    </w:p>
    <w:p>
      <w:pPr>
        <w:pStyle w:val="BodyTextFirstIndent"/>
        <w:rPr/>
      </w:pPr>
      <w:r>
        <w:rPr/>
        <w:t>Each of the Parties irrevocably agrees that any legal action or proceeding with respect to this Agreement or for recognition and enforcement of any judgment in respect hereof brought by another Party hereto or its successors or assigns shall be brought and determined in the Supreme Court of the State of New York in New York County or in the United States District Court for the Southern District of New York, and each of the Parties hereby irrevocably submits with regard to any such action or proceeding for itself and in respect to its property, generally and unconditionally, to the exclusive jurisdiction of the aforesaid courts.  Any service of process to be made in such action or proceeding may be made by delivery of process in accordance with the notice provisions contained in Article 13.  Each of the Parties hereby irrevocably waives, and agrees not to assert, by way of motion, as a defense, counterclaim or otherwise, in any action or proceeding with respect to this Agreement, (a) any defense of sovereign immunity, (b) any claim that it is not personally subject to the jurisdiction of the above-named courts for any reason other than the failure to serve process in accordance with this Section 12.01, (c) that it or its property is exempt or immune from the jurisdiction of any such court or from any legal process commenced in such courts (whether through service of notice, attachment prior to judgment, attachment in aid of execution of judgment, execution of judgment or otherwise), and (d) to the fullest extent permitted by applicable law that (i) the suit, action or proceeding in any such court is brought in an inconvenient forum, (ii) the venue of such suit, action or proceeding is improper and (iii) this Agreement, or the subject matter hereof, may not be enforced in or by such courts.</w:t>
      </w:r>
    </w:p>
    <w:p>
      <w:pPr>
        <w:pStyle w:val="Heading2"/>
        <w:keepNext w:val="false"/>
        <w:keepLines w:val="false"/>
        <w:ind w:hanging="0" w:start="0"/>
        <w:rPr>
          <w:vanish/>
          <w:color w:val="0000FF"/>
        </w:rPr>
      </w:pPr>
      <w:bookmarkStart w:id="26" w:name="__RefHeading___Toc509734717"/>
      <w:r>
        <w:rPr/>
        <w:t>Waiver Of Jury Trial</w:t>
      </w:r>
      <w:r>
        <w:rPr>
          <w:u w:val="none"/>
        </w:rPr>
        <w:t>.</w:t>
      </w:r>
      <w:bookmarkEnd w:id="26"/>
      <w:r>
        <w:rPr>
          <w:u w:val="none"/>
        </w:rPr>
        <w:t xml:space="preserve">  </w:t>
      </w:r>
    </w:p>
    <w:p>
      <w:pPr>
        <w:pStyle w:val="BodyTextFirstIndent"/>
        <w:rPr/>
      </w:pPr>
      <w:r>
        <w:rPr/>
        <w:t>EACH PARTY HERETO HEREBY WAIVES, TO THE FULLEST EXTENT PERMITTED BY APPLICABLE LAW, ANY RIGHT IT MAY HAVE TO A TRIAL BY JURY IN ANY LEGAL PROCEEDING DIRECTLY OR INDIRECTLY ARISING OUT OF OR RELATING TO THIS AGREEMENT OR THE TRANSACTION CONTEMPLATED HEREBY (WHETHER BASED ON CONTRACT, TORT OR ANY OTHER THEORY).  EACH PARTY HERETO (A) CERTIFIES THAT NO REPRESENTATIVE, AGENT OR ATTORNEY OF ANY OTHER PARTY HAS REPRESENTED, EXPRESSLY OR OTHERWISE, THAT SUCH OTHER PARTY WOULD NOT, IN THE EVENT OF LITIGATION, SEEK TO ENFORCE THE FOREGOING WAIVER AND (B) ACKNOWLEDGES THAT IT AND THE OTHER PARTIES HERETO HAVE BEEN INDUCED TO ENTER INTO THIS AGREEMENT BY, AMONG OTHER THINGS, THE MUTUAL WAIVERS AND CERTIFICATIONS IN THIS SECTION.</w:t>
      </w:r>
    </w:p>
    <w:p>
      <w:pPr>
        <w:pStyle w:val="Heading1"/>
        <w:keepLines w:val="false"/>
        <w:ind w:hanging="0" w:start="0"/>
        <w:rPr/>
      </w:pPr>
      <w:r>
        <w:rPr>
          <w:u w:val="none"/>
        </w:rPr>
        <w:br/>
      </w:r>
      <w:bookmarkStart w:id="27" w:name="__RefHeading___Toc509734718"/>
      <w:r>
        <w:rPr/>
        <w:t>NOTICES</w:t>
      </w:r>
      <w:bookmarkEnd w:id="27"/>
    </w:p>
    <w:p>
      <w:pPr>
        <w:pStyle w:val="BodyTextFirstIndent"/>
        <w:rPr/>
      </w:pPr>
      <w:r>
        <w:rPr/>
        <w:t>All notices and other communications hereunder shall be in writing and shall be deemed given if delivered personally or by facsimile transmission or mailed by overnight courier or registered or certified mail (return receipt requested), postage prepaid, to the parties at the following address (or at such other address for a Party as shall be specified by like notice; provided that notices of a change of address shall be effective only upon receipt thereof):</w:t>
      </w:r>
    </w:p>
    <w:p>
      <w:pPr>
        <w:pStyle w:val="Normal"/>
        <w:tabs>
          <w:tab w:val="clear" w:pos="720"/>
          <w:tab w:val="left" w:pos="2160" w:leader="none"/>
        </w:tabs>
        <w:ind w:hanging="720" w:start="2160" w:end="0"/>
        <w:rPr/>
      </w:pPr>
      <w:r>
        <w:rPr/>
        <w:t>i.</w:t>
        <w:tab/>
        <w:t>If to the Company and relating to billing and payment pursuant to Sections 6.01 or 6.03, to:</w:t>
      </w:r>
    </w:p>
    <w:p>
      <w:pPr>
        <w:pStyle w:val="BodyText"/>
        <w:ind w:start="2160" w:end="0"/>
        <w:rPr/>
      </w:pPr>
      <w:r>
        <w:rPr/>
        <w:t>Niagara Mohawk Power Corporation</w:t>
        <w:br/>
        <w:t>Energy Transactions</w:t>
        <w:br/>
        <w:t>300 Erie Boulevard West, Building C-1</w:t>
        <w:br/>
        <w:t>Syracuse, New York 13202</w:t>
        <w:br/>
        <w:t>Facsimile:  (315) 428-6129</w:t>
        <w:br/>
        <w:t>Attention:  Scott Leuthauser</w:t>
      </w:r>
    </w:p>
    <w:p>
      <w:pPr>
        <w:pStyle w:val="BodyText"/>
        <w:ind w:start="2160" w:end="0"/>
        <w:rPr/>
      </w:pPr>
      <w:r>
        <w:rPr/>
      </w:r>
    </w:p>
    <w:p>
      <w:pPr>
        <w:pStyle w:val="BodyText"/>
        <w:keepNext w:val="true"/>
        <w:spacing w:before="0" w:after="240"/>
        <w:ind w:start="2160" w:end="0"/>
        <w:rPr/>
      </w:pPr>
      <w:r>
        <w:rPr/>
        <w:t>All other notices and communications to Seller, to:</w:t>
      </w:r>
    </w:p>
    <w:p>
      <w:pPr>
        <w:pStyle w:val="BodyTextIndent"/>
        <w:ind w:start="2160" w:end="0"/>
        <w:rPr/>
      </w:pPr>
      <w:r>
        <w:rPr/>
        <w:t>Niagara Mohawk Power Corporation</w:t>
        <w:br/>
        <w:t>300 Erie Boulevard West</w:t>
        <w:br/>
        <w:t>Syracuse, New York  13202</w:t>
        <w:br/>
        <w:t>Facsimile:  (315) 428-3406</w:t>
        <w:br/>
        <w:t>Attention:  William  F. Edwards</w:t>
      </w:r>
    </w:p>
    <w:p>
      <w:pPr>
        <w:pStyle w:val="Normal"/>
        <w:ind w:start="1440" w:end="0"/>
        <w:rPr/>
      </w:pPr>
      <w:r>
        <w:rPr/>
      </w:r>
    </w:p>
    <w:p>
      <w:pPr>
        <w:pStyle w:val="BodyTextIndent"/>
        <w:keepNext w:val="true"/>
        <w:ind w:start="2160" w:end="0"/>
        <w:rPr/>
      </w:pPr>
      <w:r>
        <w:rPr/>
        <w:t>with a copy to:</w:t>
      </w:r>
    </w:p>
    <w:p>
      <w:pPr>
        <w:pStyle w:val="Normal"/>
        <w:keepNext w:val="true"/>
        <w:ind w:start="1440" w:end="0"/>
        <w:rPr/>
      </w:pPr>
      <w:r>
        <w:rPr/>
      </w:r>
    </w:p>
    <w:p>
      <w:pPr>
        <w:pStyle w:val="BodyTextIndent"/>
        <w:ind w:start="2160" w:end="0"/>
        <w:rPr/>
      </w:pPr>
      <w:r>
        <w:rPr/>
        <w:t>Niagara Mohawk Power Corporation</w:t>
      </w:r>
    </w:p>
    <w:p>
      <w:pPr>
        <w:pStyle w:val="BodyTextIndent"/>
        <w:ind w:start="2160" w:end="0"/>
        <w:rPr/>
      </w:pPr>
      <w:r>
        <w:rPr/>
        <w:t>111 Washington Avenue, Suite 301</w:t>
      </w:r>
    </w:p>
    <w:p>
      <w:pPr>
        <w:pStyle w:val="BodyTextIndent"/>
        <w:ind w:start="2160" w:end="0"/>
        <w:rPr/>
      </w:pPr>
      <w:r>
        <w:rPr/>
        <w:t>Albany, New York  12210</w:t>
      </w:r>
    </w:p>
    <w:p>
      <w:pPr>
        <w:pStyle w:val="BodyTextIndent"/>
        <w:ind w:start="2160" w:end="0"/>
        <w:rPr/>
      </w:pPr>
      <w:r>
        <w:rPr/>
        <w:t>Facsimile:  (518) 433-5220</w:t>
      </w:r>
    </w:p>
    <w:p>
      <w:pPr>
        <w:pStyle w:val="BodyTextIndent"/>
        <w:ind w:start="2160" w:end="0"/>
        <w:rPr/>
      </w:pPr>
      <w:r>
        <w:rPr/>
        <w:t>Attention:  Gloria Kavanah</w:t>
      </w:r>
    </w:p>
    <w:p>
      <w:pPr>
        <w:pStyle w:val="Normal"/>
        <w:ind w:start="1440" w:end="0"/>
        <w:rPr/>
      </w:pPr>
      <w:r>
        <w:rPr/>
      </w:r>
    </w:p>
    <w:p>
      <w:pPr>
        <w:pStyle w:val="BodyTextIndent"/>
        <w:keepNext w:val="true"/>
        <w:keepLines/>
        <w:ind w:start="2160" w:end="0"/>
        <w:rPr/>
      </w:pPr>
      <w:r>
        <w:rPr/>
        <w:t>and with a copy to:</w:t>
      </w:r>
    </w:p>
    <w:p>
      <w:pPr>
        <w:pStyle w:val="Normal"/>
        <w:keepNext w:val="true"/>
        <w:keepLines/>
        <w:ind w:start="1440" w:end="0"/>
        <w:rPr/>
      </w:pPr>
      <w:r>
        <w:rPr/>
      </w:r>
    </w:p>
    <w:p>
      <w:pPr>
        <w:pStyle w:val="BodyTextIndent"/>
        <w:ind w:start="2160" w:end="0"/>
        <w:rPr/>
      </w:pPr>
      <w:r>
        <w:rPr/>
        <w:t>Sullivan &amp; Cromwell</w:t>
      </w:r>
    </w:p>
    <w:p>
      <w:pPr>
        <w:pStyle w:val="BodyTextIndent"/>
        <w:ind w:start="2160" w:end="0"/>
        <w:rPr/>
      </w:pPr>
      <w:r>
        <w:rPr/>
        <w:t>125 Broad Street</w:t>
      </w:r>
    </w:p>
    <w:p>
      <w:pPr>
        <w:pStyle w:val="BodyTextIndent"/>
        <w:ind w:start="2160" w:end="0"/>
        <w:rPr/>
      </w:pPr>
      <w:r>
        <w:rPr/>
        <w:t>New York, New York  10004</w:t>
      </w:r>
    </w:p>
    <w:p>
      <w:pPr>
        <w:pStyle w:val="BodyTextIndent"/>
        <w:ind w:start="2160" w:end="0"/>
        <w:rPr/>
      </w:pPr>
      <w:r>
        <w:rPr/>
        <w:t>Facsimile:  (212) 558-3586</w:t>
      </w:r>
    </w:p>
    <w:p>
      <w:pPr>
        <w:pStyle w:val="BodyTextIndent"/>
        <w:ind w:start="2160" w:end="0"/>
        <w:rPr/>
      </w:pPr>
      <w:r>
        <w:rPr/>
        <w:t>Attention:  Janet Thiele Geldzahler</w:t>
      </w:r>
    </w:p>
    <w:p>
      <w:pPr>
        <w:pStyle w:val="Normal"/>
        <w:ind w:start="1440" w:end="0"/>
        <w:rPr/>
      </w:pPr>
      <w:r>
        <w:rPr/>
      </w:r>
    </w:p>
    <w:p>
      <w:pPr>
        <w:pStyle w:val="Normal"/>
        <w:ind w:start="1440" w:end="0"/>
        <w:rPr/>
      </w:pPr>
      <w:r>
        <w:rPr/>
        <w:t>ii.</w:t>
        <w:tab/>
        <w:t xml:space="preserve">  If to the Supplier, to:</w:t>
      </w:r>
    </w:p>
    <w:p>
      <w:pPr>
        <w:pStyle w:val="Normal"/>
        <w:ind w:start="1440" w:end="0"/>
        <w:rPr/>
      </w:pPr>
      <w:r>
        <w:rPr/>
      </w:r>
    </w:p>
    <w:p>
      <w:pPr>
        <w:pStyle w:val="BodyTextIndent"/>
        <w:ind w:start="2160" w:end="0"/>
        <w:rPr/>
      </w:pPr>
      <w:r>
        <w:rPr/>
        <w:t>[          ]</w:t>
      </w:r>
    </w:p>
    <w:p>
      <w:pPr>
        <w:pStyle w:val="BodyTextIndent"/>
        <w:ind w:start="2160" w:end="0"/>
        <w:rPr/>
      </w:pPr>
      <w:r>
        <w:rPr/>
        <w:t xml:space="preserve">Facsimile: (   )    -    </w:t>
      </w:r>
    </w:p>
    <w:p>
      <w:pPr>
        <w:pStyle w:val="BodyTextIndent"/>
        <w:ind w:start="2160" w:end="0"/>
        <w:rPr/>
      </w:pPr>
      <w:r>
        <w:rPr/>
        <w:t xml:space="preserve">Attention: </w:t>
      </w:r>
    </w:p>
    <w:p>
      <w:pPr>
        <w:pStyle w:val="BodyTextIndent"/>
        <w:ind w:start="2160" w:end="0"/>
        <w:rPr/>
      </w:pPr>
      <w:r>
        <w:rPr/>
      </w:r>
    </w:p>
    <w:p>
      <w:pPr>
        <w:pStyle w:val="BodyTextIndent"/>
        <w:keepLines/>
        <w:ind w:start="2160" w:end="0"/>
        <w:rPr/>
      </w:pPr>
      <w:r>
        <w:rPr/>
        <w:t>with a copy to:</w:t>
      </w:r>
    </w:p>
    <w:p>
      <w:pPr>
        <w:pStyle w:val="BodyTextIndent"/>
        <w:keepLines/>
        <w:ind w:start="2160" w:end="0"/>
        <w:rPr/>
      </w:pPr>
      <w:r>
        <w:rPr/>
      </w:r>
    </w:p>
    <w:p>
      <w:pPr>
        <w:pStyle w:val="BodyTextIndent"/>
        <w:keepLines/>
        <w:ind w:start="2160" w:end="0"/>
        <w:rPr/>
      </w:pPr>
      <w:r>
        <w:rPr/>
        <w:t>[          ]</w:t>
      </w:r>
    </w:p>
    <w:p>
      <w:pPr>
        <w:pStyle w:val="BodyTextIndent"/>
        <w:keepLines/>
        <w:ind w:start="2160" w:end="0"/>
        <w:rPr/>
      </w:pPr>
      <w:r>
        <w:rPr/>
        <w:t xml:space="preserve">Facsimile: (   )    -    </w:t>
      </w:r>
    </w:p>
    <w:p>
      <w:pPr>
        <w:pStyle w:val="BodyTextIndent"/>
        <w:keepLines/>
        <w:ind w:start="2160" w:end="0"/>
        <w:rPr/>
      </w:pPr>
      <w:r>
        <w:rPr/>
        <w:t xml:space="preserve">Attention: </w:t>
      </w:r>
    </w:p>
    <w:p>
      <w:pPr>
        <w:pStyle w:val="Normal"/>
        <w:rPr/>
      </w:pPr>
      <w:r>
        <w:rPr/>
      </w:r>
    </w:p>
    <w:p>
      <w:pPr>
        <w:pStyle w:val="Heading1"/>
        <w:ind w:hanging="0" w:start="0"/>
        <w:rPr/>
      </w:pPr>
      <w:r>
        <w:rPr>
          <w:rFonts w:eastAsia="Courier New"/>
          <w:u w:val="none"/>
        </w:rPr>
        <w:t xml:space="preserve">  </w:t>
      </w:r>
      <w:r>
        <w:rPr>
          <w:u w:val="none"/>
        </w:rPr>
        <w:br/>
      </w:r>
      <w:bookmarkStart w:id="28" w:name="__RefHeading___Toc509734719"/>
      <w:r>
        <w:rPr/>
        <w:t>GOVERNING LAW</w:t>
      </w:r>
      <w:bookmarkEnd w:id="28"/>
    </w:p>
    <w:p>
      <w:pPr>
        <w:pStyle w:val="BodyTextFirstIndent"/>
        <w:rPr/>
      </w:pPr>
      <w:r>
        <w:rPr/>
        <w:t xml:space="preserve">This Agreement shall be governed by and construed in accordance with the laws of the State of New York.  </w:t>
      </w:r>
    </w:p>
    <w:p>
      <w:pPr>
        <w:pStyle w:val="Heading1"/>
        <w:keepLines w:val="false"/>
        <w:ind w:hanging="0" w:start="0"/>
        <w:rPr/>
      </w:pPr>
      <w:r>
        <w:rPr>
          <w:u w:val="none"/>
        </w:rPr>
        <w:br/>
      </w:r>
      <w:bookmarkStart w:id="29" w:name="__RefHeading___Toc509734720"/>
      <w:r>
        <w:rPr/>
        <w:t>MISCELLANEOUS</w:t>
      </w:r>
      <w:bookmarkEnd w:id="29"/>
    </w:p>
    <w:p>
      <w:pPr>
        <w:pStyle w:val="Heading2"/>
        <w:keepLines w:val="false"/>
        <w:ind w:hanging="0" w:start="0"/>
        <w:rPr>
          <w:vanish/>
          <w:color w:val="000080"/>
        </w:rPr>
      </w:pPr>
      <w:bookmarkStart w:id="30" w:name="__RefHeading___Toc509734721"/>
      <w:r>
        <w:rPr/>
        <w:t>Further Assurances</w:t>
      </w:r>
      <w:r>
        <w:rPr>
          <w:u w:val="none"/>
        </w:rPr>
        <w:t>.</w:t>
      </w:r>
      <w:bookmarkEnd w:id="30"/>
      <w:r>
        <w:rPr>
          <w:u w:val="none"/>
        </w:rPr>
        <w:t xml:space="preserve">  </w:t>
      </w:r>
    </w:p>
    <w:p>
      <w:pPr>
        <w:pStyle w:val="BodyTextFirstIndent"/>
        <w:keepNext w:val="true"/>
        <w:rPr/>
      </w:pPr>
      <w:r>
        <w:rPr/>
        <w:t>Each Party shall prepare, execute and deliver to the other Party any documents reasonably required to implement any provision hereof.</w:t>
      </w:r>
    </w:p>
    <w:p>
      <w:pPr>
        <w:pStyle w:val="Heading2"/>
        <w:keepNext w:val="false"/>
        <w:ind w:hanging="0" w:start="0"/>
        <w:rPr>
          <w:vanish/>
          <w:color w:val="000080"/>
        </w:rPr>
      </w:pPr>
      <w:bookmarkStart w:id="31" w:name="__RefHeading___Toc509734722"/>
      <w:r>
        <w:rPr/>
        <w:t>Representations</w:t>
      </w:r>
      <w:r>
        <w:rPr>
          <w:u w:val="none"/>
        </w:rPr>
        <w:t>.</w:t>
      </w:r>
      <w:bookmarkEnd w:id="31"/>
      <w:r>
        <w:rPr>
          <w:u w:val="none"/>
        </w:rPr>
        <w:t xml:space="preserve">  </w:t>
      </w:r>
    </w:p>
    <w:p>
      <w:pPr>
        <w:pStyle w:val="BodyTextFirstIndent"/>
        <w:rPr/>
      </w:pPr>
      <w:r>
        <w:rPr/>
        <w:t>Each Party represents to the other Party as follows:</w:t>
      </w:r>
    </w:p>
    <w:p>
      <w:pPr>
        <w:pStyle w:val="Heading3"/>
        <w:ind w:hanging="0" w:start="0"/>
        <w:rPr/>
      </w:pPr>
      <w:r>
        <w:rPr/>
        <w:t xml:space="preserve">It is a corporation duly organized, validly existing and in good standing under the laws of its state of incorporation and has all requisite power and authority to own, lease and operate its properties and to carry on its business as is now being conducted. </w:t>
      </w:r>
    </w:p>
    <w:p>
      <w:pPr>
        <w:pStyle w:val="Heading3"/>
        <w:ind w:hanging="0" w:start="0"/>
        <w:rPr/>
      </w:pPr>
      <w:r>
        <w:rPr/>
        <w:t>It has full power and authority to execute and deliver this Agreement and to consummate the transactions contemplated hereby.  The execution and delivery of this Agreement and the consummation of the transactions contemplated hereby have been duly and validly authorized by its board of directors and no other corporate proceedings on its part are necessary to authorize this Agreement or to consummate the transactions contemplated hereby.  This Agreement has been duly and validly executed and delivered by it, and, assuming that this Agreement constitutes a valid and binding agreement of the other Party, constitutes its valid and binding agreement, enforceable against it in accordance with its terms, subject to bankruptcy, insolvency, fraudulent transfer, reorganization, moratorium and similar laws of general applicability relating to or affecting creditors' rights and to general equity principles.</w:t>
      </w:r>
    </w:p>
    <w:p>
      <w:pPr>
        <w:pStyle w:val="Heading3"/>
        <w:ind w:hanging="0" w:start="0"/>
        <w:rPr/>
      </w:pPr>
      <w:r>
        <w:rPr/>
        <w:t>No declaration, filing with, notice to, or authorization, permit, consent or approval of any Governmental Authority, other than the Required Regulatory Approvals, is required for the execution and delivery of this Agreement by it or the performance by it of its obligations hereunder, other than such declarations, filings, registrations, notices, authorizations, permits, consents or approvals which, if not obtained or made, will not, in the aggregate, have a Material Adverse Effect.</w:t>
      </w:r>
    </w:p>
    <w:p>
      <w:pPr>
        <w:pStyle w:val="Heading3"/>
        <w:ind w:hanging="0" w:start="0"/>
        <w:rPr/>
      </w:pPr>
      <w:r>
        <w:rPr/>
        <w:t>Neither the execution and delivery of this Agreement by it nor the performance by it of its obligations under this Agreement will (i) conflict with or result in any breach of any provision of its Certificate of Incorporation or Bylaws, (ii) result in a default (or give rise to any right of termination, cancellation or acceleration) under any of the terms, conditions or provisions of any note, bond, mortgage, indenture, license, agreement or other instrument or obligation to which it or any of its Subsidiaries is a party or by which it or any of its Subsidiaries is bound, except for such defaults (or rights of termination, cancellation or acceleration) as to which requisite waivers or consents have been obtained or which, in the aggregate, would not have a Material Adverse Effect; or (iii) violate any order, writ, injunction, decree, statute, rule or regulation applicable to it, which violation would have a Material Adverse Effect.</w:t>
      </w:r>
    </w:p>
    <w:p>
      <w:pPr>
        <w:pStyle w:val="Heading3"/>
        <w:ind w:hanging="0" w:start="0"/>
        <w:rPr/>
      </w:pPr>
      <w:r>
        <w:rPr/>
        <w:t>There are no claims, actions, proceedings or investigations pending or, to its knowledge, threatened against or relating to it before any Governmental Authority acting in an adjudicative capacity relating to the transactions contemplated hereby that could have a Material Adverse Effect.  It is not subject to any outstanding judgment, rule, order, writ, injunction or decree of any court or Governmental Authority which, individually or in the aggregate, would create a Material Adverse Effect.</w:t>
      </w:r>
    </w:p>
    <w:p>
      <w:pPr>
        <w:pStyle w:val="Heading2"/>
        <w:keepNext w:val="false"/>
        <w:keepLines w:val="false"/>
        <w:ind w:hanging="0" w:start="0"/>
        <w:rPr>
          <w:vanish/>
          <w:color w:val="000080"/>
        </w:rPr>
      </w:pPr>
      <w:bookmarkStart w:id="32" w:name="__RefHeading___Toc509734723"/>
      <w:r>
        <w:rPr/>
        <w:t>Parties Bound by Terms; Waiver of Rate Change Rights</w:t>
      </w:r>
      <w:r>
        <w:rPr>
          <w:u w:val="none"/>
        </w:rPr>
        <w:t>.</w:t>
      </w:r>
      <w:bookmarkEnd w:id="32"/>
      <w:r>
        <w:rPr>
          <w:u w:val="none"/>
        </w:rPr>
        <w:t xml:space="preserve">  </w:t>
      </w:r>
    </w:p>
    <w:p>
      <w:pPr>
        <w:pStyle w:val="BodyTextFirstIndent"/>
        <w:rPr>
          <w:rFonts w:eastAsia="MS Mincho;ＭＳ 明朝"/>
        </w:rPr>
      </w:pPr>
      <w:r>
        <w:rPr>
          <w:rFonts w:eastAsia="MS Mincho;ＭＳ 明朝"/>
        </w:rPr>
        <w:t>The rates, terms and conditions for service specified in this Agreement shall remain in effect for the entire term hereof, as specified in Section 2.01 hereunder, and shall not be subject to change through any unilateral application by either Party to any applicable Governmental Authority, including the FERC pursuant to the provisions of Section 205 or Section 206 of the Federal Power Act, without the mutual agreement of the Parties.  Each Party hereby irrevocably waives the right to seek any change, or to support any application or complaint or action by a Governmental Authority made seeking a change, in such rates or a change in such terms and conditions, absent the mutual agreement of the Parties.</w:t>
      </w:r>
    </w:p>
    <w:p>
      <w:pPr>
        <w:pStyle w:val="Heading2"/>
        <w:keepLines w:val="false"/>
        <w:ind w:hanging="0" w:start="0"/>
        <w:rPr>
          <w:vanish/>
          <w:color w:val="000080"/>
        </w:rPr>
      </w:pPr>
      <w:bookmarkStart w:id="33" w:name="__RefHeading___Toc509734724"/>
      <w:r>
        <w:rPr/>
        <w:t>Counterparts</w:t>
      </w:r>
      <w:r>
        <w:rPr>
          <w:u w:val="none"/>
        </w:rPr>
        <w:t>.</w:t>
      </w:r>
      <w:bookmarkEnd w:id="33"/>
      <w:r>
        <w:rPr>
          <w:u w:val="none"/>
        </w:rPr>
        <w:t xml:space="preserve">  </w:t>
      </w:r>
    </w:p>
    <w:p>
      <w:pPr>
        <w:pStyle w:val="BodyTextFirstIndent"/>
        <w:rPr/>
      </w:pPr>
      <w:r>
        <w:rPr/>
        <w:t>This Agreement may be executed in two or more counterparts, each of which shall be deemed an original, but all of which together shall constitute one and the same instrument.</w:t>
      </w:r>
    </w:p>
    <w:p>
      <w:pPr>
        <w:pStyle w:val="Heading2"/>
        <w:keepLines w:val="false"/>
        <w:ind w:hanging="0" w:start="0"/>
        <w:rPr>
          <w:vanish/>
          <w:color w:val="000080"/>
        </w:rPr>
      </w:pPr>
      <w:bookmarkStart w:id="34" w:name="__RefHeading___Toc509734725"/>
      <w:r>
        <w:rPr/>
        <w:t>Interpretation; Construction</w:t>
      </w:r>
      <w:r>
        <w:rPr>
          <w:u w:val="none"/>
        </w:rPr>
        <w:t>.</w:t>
      </w:r>
      <w:bookmarkEnd w:id="34"/>
      <w:r>
        <w:rPr>
          <w:u w:val="none"/>
        </w:rPr>
        <w:t xml:space="preserve">  </w:t>
      </w:r>
    </w:p>
    <w:p>
      <w:pPr>
        <w:pStyle w:val="BodyTextFirstIndent"/>
        <w:rPr/>
      </w:pPr>
      <w:r>
        <w:rPr/>
        <w:t>The article and section headings contained in this Agreement are solely for the purpose of reference, are not part of the agreement of the Parties and shall not in any way affect the meaning or interpretation of this Agreement.  For purposes of this Agreement, the term "including" shall mean "including, without limitation".  The Parties acknowledge that this Agreement is the result of joint discussion and negotiation.  Each Party contributed to the substantive provisions hereof and no Party can be identified as the sole drafter hereof.</w:t>
      </w:r>
    </w:p>
    <w:p>
      <w:pPr>
        <w:pStyle w:val="Heading2"/>
        <w:keepLines w:val="false"/>
        <w:ind w:hanging="0" w:start="0"/>
        <w:rPr>
          <w:vanish/>
          <w:color w:val="000080"/>
        </w:rPr>
      </w:pPr>
      <w:bookmarkStart w:id="35" w:name="__RefHeading___Toc509734726"/>
      <w:r>
        <w:rPr/>
        <w:t>Schedules and Appendices</w:t>
      </w:r>
      <w:r>
        <w:rPr>
          <w:u w:val="none"/>
        </w:rPr>
        <w:t>.</w:t>
      </w:r>
      <w:bookmarkEnd w:id="35"/>
      <w:r>
        <w:rPr>
          <w:u w:val="none"/>
        </w:rPr>
        <w:t xml:space="preserve">  </w:t>
      </w:r>
    </w:p>
    <w:p>
      <w:pPr>
        <w:pStyle w:val="BodyTextFirstIndent"/>
        <w:rPr/>
      </w:pPr>
      <w:r>
        <w:rPr/>
        <w:t>All Schedules and Appendices referred to herein are intended to be and hereby are specifically made a part of this Agreement.</w:t>
      </w:r>
    </w:p>
    <w:p>
      <w:pPr>
        <w:pStyle w:val="Heading2"/>
        <w:keepLines w:val="false"/>
        <w:ind w:hanging="0" w:start="0"/>
        <w:rPr>
          <w:vanish/>
          <w:color w:val="000080"/>
        </w:rPr>
      </w:pPr>
      <w:bookmarkStart w:id="36" w:name="__RefHeading___Toc509734727"/>
      <w:r>
        <w:rPr/>
        <w:t>Entire Agreement</w:t>
      </w:r>
      <w:r>
        <w:rPr>
          <w:u w:val="none"/>
        </w:rPr>
        <w:t>.</w:t>
      </w:r>
      <w:bookmarkEnd w:id="36"/>
      <w:r>
        <w:rPr>
          <w:u w:val="none"/>
        </w:rPr>
        <w:t xml:space="preserve">  </w:t>
      </w:r>
    </w:p>
    <w:p>
      <w:pPr>
        <w:pStyle w:val="BodyTextFirstIndent"/>
        <w:rPr/>
      </w:pPr>
      <w:r>
        <w:rPr/>
        <w:t>This Agreement, including the Schedules, Appendices and documents referred to herein or therein, embody the entire agreement and understanding of the Parties hereto in respect of the transactions contemplated by this Agreement.  There are no restrictions, promises, representations, warranties, covenants or undertakings, other than those expressly set forth or referred to herein or therein.  It is expressly acknowledged and agreed that there are no restrictions, promises, representations, warranties, covenants or undertakings contained in any material provided or otherwise made available to Supplier.  This Agreement supersedes all prior agreements and understandings between the Parties with respect to the transactions contemplated hereby.</w:t>
      </w:r>
    </w:p>
    <w:p>
      <w:pPr>
        <w:pStyle w:val="Heading2"/>
        <w:keepLines w:val="false"/>
        <w:ind w:hanging="0" w:start="0"/>
        <w:rPr>
          <w:vanish/>
          <w:color w:val="0000FF"/>
        </w:rPr>
      </w:pPr>
      <w:bookmarkStart w:id="37" w:name="__RefHeading___Toc509734728"/>
      <w:r>
        <w:rPr/>
        <w:t>Severability</w:t>
      </w:r>
      <w:r>
        <w:rPr>
          <w:u w:val="none"/>
        </w:rPr>
        <w:t>.</w:t>
      </w:r>
      <w:bookmarkEnd w:id="37"/>
      <w:r>
        <w:rPr>
          <w:u w:val="none"/>
        </w:rPr>
        <w:t xml:space="preserve">  </w:t>
      </w:r>
    </w:p>
    <w:p>
      <w:pPr>
        <w:pStyle w:val="BodyTextFirstIndent"/>
        <w:rPr/>
      </w:pPr>
      <w:r>
        <w:rPr>
          <w:rFonts w:eastAsia="MS Mincho;ＭＳ 明朝"/>
        </w:rPr>
        <w:t xml:space="preserve">Any provision </w:t>
      </w:r>
      <w:r>
        <w:rPr/>
        <w:t>declared</w:t>
      </w:r>
      <w:r>
        <w:rPr>
          <w:rFonts w:eastAsia="MS Mincho;ＭＳ 明朝"/>
        </w:rPr>
        <w:t xml:space="preserve"> or rendered unlawful by any applicable court of law or regulatory agency or deemed unlawful because of a statutory change will not otherwise affect the remaining lawful obligations that arise under this Agreement.</w:t>
      </w:r>
    </w:p>
    <w:p>
      <w:pPr>
        <w:pStyle w:val="Heading2"/>
        <w:keepLines w:val="false"/>
        <w:ind w:hanging="0" w:start="0"/>
        <w:rPr>
          <w:vanish/>
          <w:color w:val="000080"/>
        </w:rPr>
      </w:pPr>
      <w:bookmarkStart w:id="38" w:name="__RefHeading___Toc509734729"/>
      <w:r>
        <w:rPr/>
        <w:t>Survival</w:t>
      </w:r>
      <w:r>
        <w:rPr>
          <w:u w:val="none"/>
        </w:rPr>
        <w:t>.</w:t>
      </w:r>
      <w:bookmarkEnd w:id="38"/>
      <w:r>
        <w:rPr>
          <w:u w:val="none"/>
        </w:rPr>
        <w:t xml:space="preserve">  </w:t>
      </w:r>
    </w:p>
    <w:p>
      <w:pPr>
        <w:pStyle w:val="BodyTextFirstIndent"/>
        <w:rPr/>
      </w:pPr>
      <w:r>
        <w:rPr/>
        <w:t xml:space="preserve">The </w:t>
      </w:r>
      <w:r>
        <w:rPr>
          <w:rFonts w:eastAsia="MS Mincho;ＭＳ 明朝"/>
        </w:rPr>
        <w:t>agreements</w:t>
      </w:r>
      <w:r>
        <w:rPr/>
        <w:t xml:space="preserve"> contained in Articles 10, 11 and 12 and Section 15.10 of this Agreement, and the obligation of the Supplier or the Company, as applicable, to pay any Price Corrections pursuant to paragraph (a)(iii) of Article 5 of this Agreement, shall survive the termination of this Agreement.  </w:t>
      </w:r>
    </w:p>
    <w:p>
      <w:pPr>
        <w:pStyle w:val="Heading2"/>
        <w:ind w:hanging="0" w:start="0"/>
        <w:rPr>
          <w:color w:val="000080"/>
        </w:rPr>
      </w:pPr>
      <w:bookmarkStart w:id="39" w:name="__RefHeading___Toc509734730"/>
      <w:r>
        <w:rPr/>
        <w:t>Confidential Information</w:t>
      </w:r>
      <w:r>
        <w:rPr>
          <w:u w:val="none"/>
        </w:rPr>
        <w:t>.</w:t>
      </w:r>
      <w:bookmarkEnd w:id="39"/>
      <w:r>
        <w:rPr>
          <w:u w:val="none"/>
        </w:rPr>
        <w:t xml:space="preserve">  </w:t>
      </w:r>
    </w:p>
    <w:p>
      <w:pPr>
        <w:pStyle w:val="Heading3"/>
        <w:ind w:hanging="0" w:start="0"/>
        <w:rPr/>
      </w:pPr>
      <w:r>
        <w:rPr/>
        <w:t>Supplier agrees not to disclose to any Person and to keep confidential, and to cause and instruct its Affiliates, officers, directors, employees, members and representatives not to disclose to any Person and to keep confidential, any and all information related to customers that is provided to, available to or obtained, collected, derived or otherwise developed by Supplier pursuant to or as a result of its performance of this Agreement (the "Confidential Information").  Notwithstanding the foregoing, any Confidential Information may be disclosed (A) to lenders, advisors and accountants of Supplier, provided that Supplier will cause such Persons to keep such Confidential Information confidential and to act in accordance with the terms hereof; (B) to the extent the Company shall have consented in writing prior to any such disclosure; (C) to the extent such Confidential Information is available from public non-confidential sources and (D) to the extent required by applicable laws and regulations or by any subpoena or similar legal process of any Governmental Authority; provided, however, that in the event Supplier is required by any applicable law,  regulation or by any subpoena or similar legal process to disclose any Confidential Information pursuant to clause (D) above, Supplier shall give the Company prompt written notice of such requirement and shall cooperate with and assist the Company as the Company may request in order to enable the Company to (i) seek an appropriate protective order or other remedy or (ii) take steps to resist or narrow the scope of such requirement.  Supplier agrees not to oppose any action by the Company to obtain a protective order or other appropriate remedy with respect to the disclosure of any such Confidential Information.  In the event that no such protective order or other remedy is obtained, Supplier shall furnish only that portion of such Confidential Information which Supplier is advised by counsel is legally required.  In any such event Supplier shall use its reasonable best efforts to ensure that all such Confidential Information that is so disclosed will be accorded confidential treatment.</w:t>
      </w:r>
    </w:p>
    <w:p>
      <w:pPr>
        <w:pStyle w:val="Heading3"/>
        <w:ind w:hanging="0" w:start="0"/>
        <w:rPr/>
      </w:pPr>
      <w:r>
        <w:rPr/>
        <w:t>Supplier acknowledges and agrees that no Confidential Information shall be used for any purpose other than to perform this Agreement.  The provisions of this Section 15.10 shall survive and continue in full force and effect after the expiration or termination of this Agreement.</w:t>
      </w:r>
    </w:p>
    <w:p>
      <w:pPr>
        <w:pStyle w:val="Heading2"/>
        <w:ind w:hanging="0" w:start="0"/>
        <w:rPr>
          <w:u w:val="none"/>
        </w:rPr>
      </w:pPr>
      <w:bookmarkStart w:id="40" w:name="__RefHeading___Toc509734731"/>
      <w:r>
        <w:rPr/>
        <w:t>Consents and Approvals</w:t>
      </w:r>
      <w:r>
        <w:rPr>
          <w:u w:val="none"/>
        </w:rPr>
        <w:t>.</w:t>
      </w:r>
      <w:bookmarkEnd w:id="40"/>
      <w:r>
        <w:rPr>
          <w:u w:val="none"/>
        </w:rPr>
        <w:t xml:space="preserve">  </w:t>
      </w:r>
    </w:p>
    <w:p>
      <w:pPr>
        <w:pStyle w:val="BodyTextFirstIndent"/>
        <w:rPr/>
      </w:pPr>
      <w:r>
        <w:rPr/>
        <w:t>The Company and Supplier shall cooperate with each other and (i) promptly prepare and file all necessary documentation, (ii) effect all necessary applications, notices, petitions and filings and execute all agreements and documents, and (iii) use all commercially reasonable efforts to obtain all necessary consents, approvals and authorizations of all other Persons, in the case of each of the foregoing clauses (i), (ii) and (iii), necessary or advisable to consummate the transactions contemplated by this Agreement (including Required Regulatory Approvals) or required by the terms of any note, bond, mortgage, indenture, deed of trust, license, franchise, permit, concession, contract, lease or other instrument to which the Company or Supplier is a party or by which either of them is bound.  The Company shall have the right to review and approve in advance all characterizations of the information relating to the transactions contemplated by this Agreement which appear in any filing, press release or public announcement made in connection with the transactions contemplated hereby.</w:t>
      </w:r>
    </w:p>
    <w:p>
      <w:pPr>
        <w:pStyle w:val="Heading2"/>
        <w:ind w:hanging="0" w:start="0"/>
        <w:rPr/>
      </w:pPr>
      <w:bookmarkStart w:id="41" w:name="__RefHeading___Toc509734732"/>
      <w:bookmarkEnd w:id="41"/>
      <w:r>
        <w:rPr/>
        <w:t>Certain Regulatory Proceedings</w:t>
      </w:r>
      <w:r>
        <w:rPr>
          <w:u w:val="none"/>
        </w:rPr>
        <w:t>.</w:t>
      </w:r>
    </w:p>
    <w:p>
      <w:pPr>
        <w:pStyle w:val="BodyTextFirstIndent"/>
        <w:rPr/>
      </w:pPr>
      <w:r>
        <w:rPr/>
        <w:t>Supplier shall not have the right to initiate or participate in any proceeding before the PSC relating to or affecting this Agreement or the transactions contemplated hereby (each such proceeding, a “</w:t>
      </w:r>
      <w:r>
        <w:rPr>
          <w:u w:val="single"/>
        </w:rPr>
        <w:t>PSC Proceeding</w:t>
      </w:r>
      <w:r>
        <w:rPr/>
        <w:t>”), without the Company’s prior written consent.  With respect to any PSC Proceeding to which the Company consents pursuant to the preceding sentence, if it so elects within a reasonable time after commencement of such proceeding, the Company shall be entitled to assume the direction of such proceeding at the Company’s own expense.</w:t>
        <w:tab/>
      </w:r>
    </w:p>
    <w:p>
      <w:pPr>
        <w:pStyle w:val="Heading2"/>
        <w:numPr>
          <w:ilvl w:val="0"/>
          <w:numId w:val="0"/>
        </w:numPr>
        <w:ind w:hanging="0" w:start="0"/>
        <w:rPr/>
      </w:pPr>
      <w:bookmarkStart w:id="42" w:name="__RefHeading___Toc509734733"/>
      <w:r>
        <w:rPr>
          <w:u w:val="none"/>
        </w:rPr>
        <w:t>Section 15.13</w:t>
        <w:tab/>
      </w:r>
      <w:r>
        <w:rPr/>
        <w:t>Relationship</w:t>
      </w:r>
      <w:r>
        <w:rPr>
          <w:u w:val="none"/>
        </w:rPr>
        <w:t>.</w:t>
      </w:r>
      <w:bookmarkEnd w:id="42"/>
      <w:r>
        <w:rPr>
          <w:u w:val="none"/>
        </w:rPr>
        <w:t xml:space="preserve"> </w:t>
      </w:r>
    </w:p>
    <w:p>
      <w:pPr>
        <w:pStyle w:val="BodyTextFirstIndent"/>
        <w:rPr/>
      </w:pPr>
      <w:r>
        <w:rPr/>
        <w:t xml:space="preserve">Nothing in this Agreement shall be construed as creating any relationship between the Parties other than that of independent contractor for the sale and purchase of electricity at wholesale. </w:t>
      </w:r>
    </w:p>
    <w:p>
      <w:pPr>
        <w:pStyle w:val="Heading2"/>
        <w:numPr>
          <w:ilvl w:val="0"/>
          <w:numId w:val="0"/>
        </w:numPr>
        <w:ind w:hanging="0" w:start="0"/>
        <w:rPr/>
      </w:pPr>
      <w:r>
        <w:rPr>
          <w:u w:val="none"/>
        </w:rPr>
        <w:t>Section 15.14</w:t>
        <w:tab/>
      </w:r>
      <w:r>
        <w:rPr/>
        <w:t>Tax Changes.</w:t>
      </w:r>
    </w:p>
    <w:p>
      <w:pPr>
        <w:pStyle w:val="BodyText1LA"/>
        <w:rPr/>
      </w:pPr>
      <w:r>
        <w:rPr/>
        <w:t>If at any time following the date of this Agreement any new Taxes (whether enacted by law, regulatory change or application of the law) become applicable to the Ancillary Services (except Rate Schedule 4) or NTAC associated with this Agreement, which new Taxes increase the amount of Taxes that Supplier is obligated to pay or for which Supplier is obligated to reimburse the Company under this Agreement, the Company agrees to use commercially reasonable efforts and work in good faith with Supplier to minimize the impact upon Supplier of such new Taxes.</w:t>
      </w:r>
    </w:p>
    <w:p>
      <w:pPr>
        <w:pStyle w:val="Normal"/>
        <w:rPr/>
      </w:pPr>
      <w:r>
        <w:rPr/>
      </w:r>
    </w:p>
    <w:p>
      <w:pPr>
        <w:pStyle w:val="BodyTextFirstIndent"/>
        <w:ind w:hanging="0" w:start="1440" w:end="0"/>
        <w:rPr/>
      </w:pPr>
      <w:r>
        <w:rPr/>
      </w:r>
    </w:p>
    <w:p>
      <w:pPr>
        <w:pStyle w:val="BodyTextFirstIndent"/>
        <w:rPr/>
      </w:pPr>
      <w:r>
        <w:rPr/>
      </w:r>
      <w:r>
        <w:br w:type="page"/>
      </w:r>
    </w:p>
    <w:p>
      <w:pPr>
        <w:pStyle w:val="BodyTextFirstIndent"/>
        <w:spacing w:before="0" w:after="480"/>
        <w:rPr/>
      </w:pPr>
      <w:r>
        <w:rPr/>
        <w:t>IN WITNESS WHEREOF, Supplier and the Company have caused this Agreement to be signed by their respective duly authorized representatives as of the date first above written.</w:t>
      </w:r>
    </w:p>
    <w:p>
      <w:pPr>
        <w:pStyle w:val="PlainText"/>
        <w:ind w:firstLine="720" w:start="3600" w:end="0"/>
        <w:rPr>
          <w:rFonts w:eastAsia="MS Mincho;ＭＳ 明朝"/>
          <w:sz w:val="24"/>
        </w:rPr>
      </w:pPr>
      <w:r>
        <w:rPr>
          <w:rFonts w:eastAsia="MS Mincho;ＭＳ 明朝"/>
          <w:sz w:val="24"/>
        </w:rPr>
        <w:t>[                   ]</w:t>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r>
    </w:p>
    <w:p>
      <w:pPr>
        <w:pStyle w:val="PlainText"/>
        <w:ind w:firstLine="720" w:start="3600" w:end="0"/>
        <w:rPr>
          <w:rFonts w:eastAsia="MS Mincho;ＭＳ 明朝"/>
          <w:sz w:val="24"/>
        </w:rPr>
      </w:pPr>
      <w:r>
        <w:rPr>
          <w:rFonts w:eastAsia="MS Mincho;ＭＳ 明朝"/>
          <w:sz w:val="24"/>
        </w:rPr>
        <w:t>By:</w:t>
        <w:tab/>
        <w:t>________________</w:t>
      </w:r>
    </w:p>
    <w:p>
      <w:pPr>
        <w:pStyle w:val="PlainText"/>
        <w:rPr>
          <w:rFonts w:eastAsia="MS Mincho;ＭＳ 明朝"/>
          <w:sz w:val="24"/>
        </w:rPr>
      </w:pPr>
      <w:r>
        <w:rPr>
          <w:rFonts w:eastAsia="MS Mincho;ＭＳ 明朝"/>
          <w:sz w:val="24"/>
        </w:rPr>
        <w:tab/>
        <w:tab/>
        <w:tab/>
        <w:tab/>
        <w:tab/>
        <w:tab/>
        <w:tab/>
        <w:t>Name:</w:t>
      </w:r>
    </w:p>
    <w:p>
      <w:pPr>
        <w:pStyle w:val="PlainText"/>
        <w:rPr>
          <w:rFonts w:eastAsia="MS Mincho;ＭＳ 明朝"/>
          <w:sz w:val="24"/>
        </w:rPr>
      </w:pPr>
      <w:r>
        <w:rPr>
          <w:rFonts w:eastAsia="MS Mincho;ＭＳ 明朝"/>
          <w:sz w:val="24"/>
        </w:rPr>
        <w:tab/>
        <w:tab/>
        <w:tab/>
        <w:tab/>
        <w:tab/>
        <w:tab/>
        <w:tab/>
        <w:t>Title:</w:t>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r>
    </w:p>
    <w:p>
      <w:pPr>
        <w:pStyle w:val="PlainText"/>
        <w:ind w:start="4320" w:end="0"/>
        <w:rPr>
          <w:rFonts w:eastAsia="MS Mincho;ＭＳ 明朝"/>
          <w:sz w:val="24"/>
        </w:rPr>
      </w:pPr>
      <w:r>
        <w:rPr>
          <w:rFonts w:eastAsia="MS Mincho;ＭＳ 明朝"/>
          <w:sz w:val="24"/>
        </w:rPr>
        <w:t>NIAGARA MOHAWK POWER CORPORATION</w:t>
      </w:r>
    </w:p>
    <w:p>
      <w:pPr>
        <w:pStyle w:val="PlainText"/>
        <w:rPr>
          <w:rFonts w:eastAsia="MS Mincho;ＭＳ 明朝"/>
          <w:sz w:val="24"/>
        </w:rPr>
      </w:pPr>
      <w:r>
        <w:rPr>
          <w:rFonts w:eastAsia="MS Mincho;ＭＳ 明朝"/>
          <w:sz w:val="24"/>
        </w:rPr>
      </w:r>
    </w:p>
    <w:p>
      <w:pPr>
        <w:pStyle w:val="PlainText"/>
        <w:ind w:firstLine="720" w:start="3600" w:end="0"/>
        <w:rPr>
          <w:rFonts w:eastAsia="MS Mincho;ＭＳ 明朝"/>
          <w:sz w:val="24"/>
        </w:rPr>
      </w:pPr>
      <w:r>
        <w:rPr>
          <w:rFonts w:eastAsia="MS Mincho;ＭＳ 明朝"/>
          <w:sz w:val="24"/>
        </w:rPr>
        <w:t>By:</w:t>
        <w:tab/>
        <w:t>________________</w:t>
      </w:r>
    </w:p>
    <w:p>
      <w:pPr>
        <w:pStyle w:val="PlainText"/>
        <w:rPr>
          <w:rFonts w:eastAsia="MS Mincho;ＭＳ 明朝"/>
          <w:sz w:val="24"/>
        </w:rPr>
      </w:pPr>
      <w:r>
        <w:rPr>
          <w:rFonts w:eastAsia="MS Mincho;ＭＳ 明朝"/>
          <w:sz w:val="24"/>
        </w:rPr>
        <w:tab/>
        <w:tab/>
        <w:tab/>
        <w:tab/>
        <w:tab/>
        <w:tab/>
        <w:tab/>
        <w:t>Name:</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PlainText"/>
        <w:rPr>
          <w:rFonts w:eastAsia="MS Mincho;ＭＳ 明朝"/>
          <w:sz w:val="24"/>
        </w:rPr>
      </w:pPr>
      <w:r>
        <w:rPr>
          <w:rFonts w:eastAsia="MS Mincho;ＭＳ 明朝"/>
          <w:sz w:val="24"/>
        </w:rPr>
        <w:tab/>
        <w:tab/>
        <w:tab/>
        <w:tab/>
        <w:tab/>
        <w:tab/>
        <w:tab/>
        <w:t>Title:</w:t>
      </w:r>
    </w:p>
    <w:p>
      <w:pPr>
        <w:pStyle w:val="Closing"/>
        <w:rPr/>
      </w:pPr>
      <w:r>
        <w:rPr/>
        <w:t>SCHEDULE A</w:t>
      </w:r>
    </w:p>
    <w:p>
      <w:pPr>
        <w:pStyle w:val="Normal"/>
        <w:rPr>
          <w:rFonts w:eastAsia="MS Mincho;ＭＳ 明朝"/>
        </w:rPr>
      </w:pPr>
      <w:r>
        <w:rPr>
          <w:rFonts w:eastAsia="MS Mincho;ＭＳ 明朝"/>
        </w:rPr>
      </w:r>
    </w:p>
    <w:p>
      <w:pPr>
        <w:pStyle w:val="Normal"/>
        <w:rPr>
          <w:rFonts w:eastAsia="MS Mincho;ＭＳ 明朝"/>
        </w:rPr>
      </w:pPr>
      <w:r>
        <w:rPr>
          <w:rFonts w:eastAsia="MS Mincho;ＭＳ 明朝"/>
        </w:rPr>
      </w:r>
    </w:p>
    <w:p>
      <w:pPr>
        <w:pStyle w:val="Normal"/>
        <w:spacing w:before="0" w:after="120"/>
        <w:ind w:start="720" w:end="0"/>
        <w:jc w:val="center"/>
        <w:rPr>
          <w:b/>
          <w:sz w:val="20"/>
        </w:rPr>
      </w:pPr>
      <w:r>
        <w:rPr>
          <w:b/>
          <w:sz w:val="20"/>
        </w:rPr>
      </w:r>
    </w:p>
    <w:tbl>
      <w:tblPr>
        <w:tblW w:w="7650" w:type="dxa"/>
        <w:jc w:val="start"/>
        <w:tblInd w:w="918" w:type="dxa"/>
        <w:tblLayout w:type="fixed"/>
        <w:tblCellMar>
          <w:top w:w="0" w:type="dxa"/>
          <w:start w:w="108" w:type="dxa"/>
          <w:bottom w:w="0" w:type="dxa"/>
          <w:end w:w="108" w:type="dxa"/>
        </w:tblCellMar>
      </w:tblPr>
      <w:tblGrid>
        <w:gridCol w:w="1980"/>
        <w:gridCol w:w="1890"/>
        <w:gridCol w:w="1890"/>
        <w:gridCol w:w="1890"/>
      </w:tblGrid>
      <w:tr>
        <w:trPr/>
        <w:tc>
          <w:tcPr>
            <w:tcW w:w="7650"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240"/>
              <w:ind w:start="720" w:end="0"/>
              <w:jc w:val="center"/>
              <w:rPr>
                <w:b/>
                <w:color w:val="000000"/>
              </w:rPr>
            </w:pPr>
            <w:r>
              <w:rPr>
                <w:b/>
                <w:color w:val="000000"/>
              </w:rPr>
              <w:t>SOS EHV Rate ($/MWh)</w:t>
            </w:r>
          </w:p>
          <w:p>
            <w:pPr>
              <w:pStyle w:val="Normal"/>
              <w:spacing w:lineRule="atLeast" w:line="240" w:before="0" w:after="240"/>
              <w:ind w:start="720" w:end="0"/>
              <w:jc w:val="center"/>
              <w:rPr>
                <w:b/>
                <w:color w:val="000000"/>
              </w:rPr>
            </w:pPr>
            <w:r>
              <w:rPr>
                <w:b/>
                <w:color w:val="000000"/>
              </w:rPr>
              <w:t>NYISO Load Zone</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Year</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720" w:end="0"/>
              <w:jc w:val="center"/>
              <w:rPr>
                <w:color w:val="000000"/>
                <w:sz w:val="20"/>
                <w:u w:val="single"/>
              </w:rPr>
            </w:pPr>
            <w:r>
              <w:rPr>
                <w:color w:val="000000"/>
                <w:sz w:val="20"/>
                <w:u w:val="single"/>
              </w:rPr>
              <w:t>1A, 29B</w:t>
            </w:r>
          </w:p>
          <w:p>
            <w:pPr>
              <w:pStyle w:val="Normal"/>
              <w:spacing w:lineRule="atLeast" w:line="240" w:before="0" w:after="240"/>
              <w:ind w:start="720" w:end="0"/>
              <w:jc w:val="center"/>
              <w:rPr>
                <w:color w:val="000000"/>
                <w:sz w:val="20"/>
                <w:u w:val="single"/>
              </w:rPr>
            </w:pPr>
            <w:r>
              <w:rPr>
                <w:color w:val="000000"/>
                <w:sz w:val="20"/>
                <w:u w:val="single"/>
              </w:rPr>
              <w:t>NYISO Zone West, Genesee</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72" w:end="0"/>
              <w:jc w:val="center"/>
              <w:rPr>
                <w:color w:val="000000"/>
                <w:sz w:val="20"/>
                <w:u w:val="single"/>
              </w:rPr>
            </w:pPr>
            <w:r>
              <w:rPr>
                <w:color w:val="000000"/>
                <w:sz w:val="20"/>
                <w:u w:val="single"/>
              </w:rPr>
              <w:t>2C, 3E, 31D</w:t>
            </w:r>
          </w:p>
          <w:p>
            <w:pPr>
              <w:pStyle w:val="Normal"/>
              <w:spacing w:lineRule="atLeast" w:line="240" w:before="0" w:after="240"/>
              <w:ind w:start="72" w:end="0"/>
              <w:jc w:val="center"/>
              <w:rPr>
                <w:color w:val="000000"/>
                <w:sz w:val="20"/>
                <w:u w:val="single"/>
              </w:rPr>
            </w:pPr>
            <w:r>
              <w:rPr>
                <w:color w:val="000000"/>
                <w:sz w:val="20"/>
                <w:u w:val="single"/>
              </w:rPr>
              <w:t>NYISO Zone Central, North, Mohawk Valley</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ind w:start="720" w:end="0"/>
              <w:jc w:val="center"/>
              <w:rPr>
                <w:color w:val="000000"/>
                <w:sz w:val="20"/>
                <w:u w:val="single"/>
              </w:rPr>
            </w:pPr>
            <w:r>
              <w:rPr>
                <w:color w:val="000000"/>
                <w:sz w:val="20"/>
                <w:u w:val="single"/>
              </w:rPr>
              <w:t>4F</w:t>
            </w:r>
          </w:p>
          <w:p>
            <w:pPr>
              <w:pStyle w:val="Normal"/>
              <w:spacing w:lineRule="atLeast" w:line="240" w:before="0" w:after="240"/>
              <w:ind w:start="720" w:end="0"/>
              <w:jc w:val="center"/>
              <w:rPr>
                <w:color w:val="000000"/>
                <w:sz w:val="20"/>
                <w:u w:val="single"/>
              </w:rPr>
            </w:pPr>
            <w:r>
              <w:rPr>
                <w:color w:val="000000"/>
                <w:sz w:val="20"/>
                <w:u w:val="single"/>
              </w:rPr>
              <w:t>NYISO Zone East</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before="0" w:after="240"/>
              <w:ind w:start="720" w:end="0"/>
              <w:jc w:val="center"/>
              <w:rPr>
                <w:color w:val="000000"/>
                <w:sz w:val="20"/>
                <w:u w:val="single"/>
              </w:rPr>
            </w:pPr>
            <w:r>
              <w:rPr>
                <w:color w:val="000000"/>
                <w:sz w:val="20"/>
                <w:u w:val="single"/>
              </w:rPr>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($/MWh)</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($/MWh)</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($/MWh)</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2001</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36.34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38.60</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41.31</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36.47</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38.74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41.44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36.71</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38.77</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41.65</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36.71</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38.77</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41.65</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37.73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40.09</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42.35</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2006</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39.02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41.46</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43.80</w:t>
            </w:r>
          </w:p>
        </w:tc>
      </w:tr>
    </w:tbl>
    <w:p>
      <w:pPr>
        <w:pStyle w:val="Normal"/>
        <w:spacing w:lineRule="atLeast" w:line="240"/>
        <w:jc w:val="center"/>
        <w:rPr>
          <w:color w:val="000000"/>
          <w:sz w:val="20"/>
        </w:rPr>
      </w:pPr>
      <w:r>
        <w:rPr>
          <w:color w:val="000000"/>
          <w:sz w:val="20"/>
        </w:rPr>
      </w:r>
    </w:p>
    <w:p>
      <w:pPr>
        <w:pStyle w:val="BodyTextFirstIndent"/>
        <w:ind w:hanging="0" w:end="0"/>
        <w:rPr/>
      </w:pPr>
      <w:r>
        <w:rPr>
          <w:b/>
          <w:i/>
          <w:sz w:val="20"/>
        </w:rPr>
        <w:t>[Retain pursuant to Bid Options 1b, 1c, 2b and 2c; delete otherwise—</w:t>
      </w:r>
      <w:r>
        <w:rPr>
          <w:sz w:val="20"/>
        </w:rPr>
        <w:t xml:space="preserve">For 2004, 2005 and 2006, the SOS EHV Rate set forth above for each Zone shall be adjusted to equal: </w:t>
      </w:r>
    </w:p>
    <w:p>
      <w:pPr>
        <w:pStyle w:val="Header"/>
        <w:tabs>
          <w:tab w:val="clear" w:pos="4320"/>
          <w:tab w:val="clear" w:pos="8640"/>
        </w:tabs>
        <w:rPr>
          <w:rFonts w:ascii="Courier;Courier New" w:hAnsi="Courier;Courier New" w:cs="Courier;Courier New"/>
          <w:sz w:val="20"/>
        </w:rPr>
      </w:pPr>
      <w:r>
        <w:rPr>
          <w:rFonts w:cs="Courier;Courier New" w:ascii="Courier;Courier New" w:hAnsi="Courier;Courier New"/>
          <w:sz w:val="20"/>
        </w:rPr>
        <w:t>EHV= Base EHV  * [1+Gas Index Factor] (where “Base EHV” is the EHV rate set forth in the table above)</w:t>
      </w:r>
    </w:p>
    <w:p>
      <w:pPr>
        <w:pStyle w:val="Header"/>
        <w:tabs>
          <w:tab w:val="clear" w:pos="4320"/>
          <w:tab w:val="clear" w:pos="8640"/>
        </w:tabs>
        <w:rPr>
          <w:rFonts w:ascii="Courier;Courier New" w:hAnsi="Courier;Courier New" w:cs="Courier;Courier New"/>
          <w:sz w:val="20"/>
        </w:rPr>
      </w:pPr>
      <w:r>
        <w:rPr>
          <w:rFonts w:cs="Courier;Courier New" w:ascii="Courier;Courier New" w:hAnsi="Courier;Courier New"/>
          <w:sz w:val="20"/>
        </w:rPr>
        <w:t>Gas Index Factor = 0.15 * ((NYMEX – Gas)/ Gas)</w:t>
      </w:r>
    </w:p>
    <w:p>
      <w:pPr>
        <w:pStyle w:val="Header"/>
        <w:tabs>
          <w:tab w:val="clear" w:pos="4320"/>
          <w:tab w:val="clear" w:pos="8640"/>
        </w:tabs>
        <w:rPr>
          <w:rFonts w:ascii="Courier;Courier New" w:hAnsi="Courier;Courier New" w:cs="Courier;Courier New"/>
          <w:sz w:val="20"/>
        </w:rPr>
      </w:pPr>
      <w:r>
        <w:rPr>
          <w:rFonts w:cs="Courier;Courier New" w:ascii="Courier;Courier New" w:hAnsi="Courier;Courier New"/>
          <w:sz w:val="20"/>
        </w:rPr>
        <w:t>NYMEX = arithmetic average of the NYMEX Henry Hub gas prices posted in each day during December of the previous year for each month, January through  December, of the applicable year</w:t>
      </w:r>
    </w:p>
    <w:p>
      <w:pPr>
        <w:pStyle w:val="Header"/>
        <w:tabs>
          <w:tab w:val="clear" w:pos="4320"/>
          <w:tab w:val="clear" w:pos="8640"/>
        </w:tabs>
        <w:rPr>
          <w:rFonts w:ascii="Courier;Courier New" w:hAnsi="Courier;Courier New" w:cs="Courier;Courier New"/>
          <w:sz w:val="20"/>
        </w:rPr>
      </w:pPr>
      <w:r>
        <w:rPr>
          <w:rFonts w:cs="Courier;Courier New" w:ascii="Courier;Courier New" w:hAnsi="Courier;Courier New"/>
          <w:sz w:val="20"/>
        </w:rPr>
        <w:t>For 2004, Gas = 2.91 per decatherm</w:t>
      </w:r>
    </w:p>
    <w:p>
      <w:pPr>
        <w:pStyle w:val="Header"/>
        <w:tabs>
          <w:tab w:val="clear" w:pos="4320"/>
          <w:tab w:val="clear" w:pos="8640"/>
        </w:tabs>
        <w:rPr>
          <w:rFonts w:ascii="Courier;Courier New" w:hAnsi="Courier;Courier New" w:cs="Courier;Courier New"/>
          <w:sz w:val="20"/>
        </w:rPr>
      </w:pPr>
      <w:r>
        <w:rPr>
          <w:rFonts w:cs="Courier;Courier New" w:ascii="Courier;Courier New" w:hAnsi="Courier;Courier New"/>
          <w:sz w:val="20"/>
        </w:rPr>
        <w:t>For 2005, Gas = 3.02 per decatherm</w:t>
      </w:r>
    </w:p>
    <w:p>
      <w:pPr>
        <w:pStyle w:val="Normal"/>
        <w:spacing w:lineRule="atLeast" w:line="240"/>
        <w:rPr>
          <w:rFonts w:ascii="Courier;Courier New" w:hAnsi="Courier;Courier New" w:cs="Courier;Courier New"/>
          <w:sz w:val="20"/>
        </w:rPr>
      </w:pPr>
      <w:r>
        <w:rPr>
          <w:rFonts w:cs="Courier;Courier New" w:ascii="Courier;Courier New" w:hAnsi="Courier;Courier New"/>
          <w:sz w:val="20"/>
        </w:rPr>
        <w:t>For 2006, Gas = 3.12 per decatherm]</w:t>
      </w:r>
    </w:p>
    <w:p>
      <w:pPr>
        <w:pStyle w:val="BodyTextFirstIndent"/>
        <w:ind w:hanging="0" w:end="0"/>
        <w:rPr/>
      </w:pPr>
      <w:r>
        <w:rPr>
          <w:b/>
          <w:i/>
          <w:sz w:val="20"/>
        </w:rPr>
        <w:t>[Retain pursuant to Bid Options 1c and 2c; delete otherwise—</w:t>
      </w:r>
      <w:r>
        <w:rPr>
          <w:sz w:val="20"/>
        </w:rPr>
        <w:t xml:space="preserve">For any year, such adjusted EHV may not exceed the applicable Base EHV by 5% and such adjusted EHV may not be less than 95% of the applicable Base EHV.] </w:t>
      </w:r>
      <w:r>
        <w:br w:type="page"/>
      </w:r>
    </w:p>
    <w:p>
      <w:pPr>
        <w:pStyle w:val="Closing"/>
        <w:jc w:val="start"/>
        <w:rPr/>
      </w:pPr>
      <w:r>
        <w:rPr/>
        <w:t>Schedule B</w:t>
      </w:r>
    </w:p>
    <w:p>
      <w:pPr>
        <w:pStyle w:val="Normal"/>
        <w:spacing w:lineRule="atLeast" w:line="240"/>
        <w:jc w:val="center"/>
        <w:rPr>
          <w:color w:val="000000"/>
          <w:sz w:val="20"/>
        </w:rPr>
      </w:pPr>
      <w:r>
        <w:rPr>
          <w:color w:val="000000"/>
          <w:sz w:val="20"/>
        </w:rPr>
      </w:r>
    </w:p>
    <w:p>
      <w:pPr>
        <w:pStyle w:val="Normal"/>
        <w:spacing w:lineRule="atLeast" w:line="240"/>
        <w:jc w:val="center"/>
        <w:rPr>
          <w:color w:val="000000"/>
          <w:sz w:val="20"/>
        </w:rPr>
      </w:pPr>
      <w:r>
        <w:rPr>
          <w:color w:val="000000"/>
          <w:sz w:val="20"/>
        </w:rPr>
        <w:t>Amortized TCC Costs</w:t>
      </w:r>
      <w:r>
        <w:rPr>
          <w:rStyle w:val="FootnoteCharacters"/>
          <w:rStyle w:val="FootnoteReference"/>
          <w:color w:val="000000"/>
          <w:sz w:val="20"/>
        </w:rPr>
        <w:footnoteReference w:id="2"/>
      </w:r>
    </w:p>
    <w:tbl>
      <w:tblPr>
        <w:tblW w:w="3870" w:type="dxa"/>
        <w:jc w:val="start"/>
        <w:tblInd w:w="918" w:type="dxa"/>
        <w:tblLayout w:type="fixed"/>
        <w:tblCellMar>
          <w:top w:w="0" w:type="dxa"/>
          <w:start w:w="108" w:type="dxa"/>
          <w:bottom w:w="0" w:type="dxa"/>
          <w:end w:w="108" w:type="dxa"/>
        </w:tblCellMar>
      </w:tblPr>
      <w:tblGrid>
        <w:gridCol w:w="1980"/>
        <w:gridCol w:w="189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rPr>
            </w:pPr>
            <w:r>
              <w:rPr>
                <w:color w:val="000000"/>
                <w:sz w:val="20"/>
              </w:rPr>
              <w:t>Date</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0" w:end="0"/>
              <w:jc w:val="center"/>
              <w:rPr>
                <w:color w:val="000000"/>
                <w:sz w:val="20"/>
                <w:u w:val="single"/>
              </w:rPr>
            </w:pPr>
            <w:r>
              <w:rPr>
                <w:color w:val="000000"/>
                <w:sz w:val="20"/>
                <w:u w:val="single"/>
              </w:rPr>
              <w:t>Amount</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72" w:end="0"/>
              <w:jc w:val="end"/>
              <w:rPr>
                <w:color w:val="000000"/>
                <w:sz w:val="20"/>
              </w:rPr>
            </w:pPr>
            <w:r>
              <w:rPr>
                <w:color w:val="000000"/>
                <w:sz w:val="20"/>
              </w:rPr>
              <w:t>September 2001</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center"/>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October 2001</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November 2001</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December 2001</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January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February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March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April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May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June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July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August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September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October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$1,563,405.56</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November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18" w:end="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December 2002</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18" w:end="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January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18" w:end="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February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18" w:end="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March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18" w:end="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April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18" w:end="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May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18" w:end="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June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ind w:start="-18" w:end="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July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August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September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October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November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December 2003</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January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February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March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April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May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June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July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August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September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October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November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December 2004</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January 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February 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March 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April 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May 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June 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July 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August 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September 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October 2005</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lineRule="atLeast" w:line="240" w:before="0" w:after="240"/>
              <w:jc w:val="end"/>
              <w:rPr>
                <w:color w:val="000000"/>
                <w:sz w:val="20"/>
              </w:rPr>
            </w:pPr>
            <w:r>
              <w:rPr>
                <w:color w:val="000000"/>
                <w:sz w:val="20"/>
              </w:rPr>
              <w:t>$1,074,954.24</w:t>
            </w:r>
          </w:p>
        </w:tc>
      </w:tr>
    </w:tbl>
    <w:p>
      <w:pPr>
        <w:sectPr>
          <w:headerReference w:type="default" r:id="rId12"/>
          <w:headerReference w:type="first" r:id="rId13"/>
          <w:footerReference w:type="default" r:id="rId14"/>
          <w:footerReference w:type="first" r:id="rId15"/>
          <w:footnotePr>
            <w:numFmt w:val="decimal"/>
            <w:numRestart w:val="eachSect"/>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tLeast" w:line="240"/>
        <w:jc w:val="center"/>
        <w:rPr>
          <w:color w:val="000000"/>
          <w:sz w:val="20"/>
        </w:rPr>
      </w:pPr>
      <w:r>
        <w:rPr>
          <w:color w:val="000000"/>
          <w:sz w:val="20"/>
        </w:rPr>
      </w:r>
    </w:p>
    <w:p>
      <w:pPr>
        <w:pStyle w:val="Normal"/>
        <w:jc w:val="end"/>
        <w:rPr/>
      </w:pPr>
      <w:r>
        <w:rPr/>
        <w:t>SCHEDULE C</w:t>
      </w:r>
    </w:p>
    <w:p>
      <w:pPr>
        <w:pStyle w:val="Closing"/>
        <w:rPr/>
      </w:pPr>
      <w:r>
        <w:rPr/>
      </w:r>
    </w:p>
    <w:p>
      <w:pPr>
        <w:pStyle w:val="Normal"/>
        <w:rPr>
          <w:rFonts w:eastAsia="MS Mincho;ＭＳ 明朝"/>
        </w:rPr>
      </w:pPr>
      <w:r>
        <w:rPr>
          <w:rFonts w:eastAsia="MS Mincho;ＭＳ 明朝"/>
        </w:rPr>
      </w:r>
    </w:p>
    <w:tbl>
      <w:tblPr>
        <w:tblW w:w="14391" w:type="dxa"/>
        <w:jc w:val="center"/>
        <w:tblInd w:w="0" w:type="dxa"/>
        <w:tblLayout w:type="fixed"/>
        <w:tblCellMar>
          <w:top w:w="0" w:type="dxa"/>
          <w:start w:w="36" w:type="dxa"/>
          <w:bottom w:w="0" w:type="dxa"/>
          <w:end w:w="36" w:type="dxa"/>
        </w:tblCellMar>
      </w:tblPr>
      <w:tblGrid>
        <w:gridCol w:w="1296"/>
        <w:gridCol w:w="810"/>
        <w:gridCol w:w="990"/>
        <w:gridCol w:w="720"/>
        <w:gridCol w:w="1350"/>
        <w:gridCol w:w="810"/>
        <w:gridCol w:w="720"/>
        <w:gridCol w:w="990"/>
        <w:gridCol w:w="990"/>
        <w:gridCol w:w="1080"/>
        <w:gridCol w:w="1080"/>
        <w:gridCol w:w="2115"/>
        <w:gridCol w:w="1440"/>
      </w:tblGrid>
      <w:tr>
        <w:trPr/>
        <w:tc>
          <w:tcPr>
            <w:tcW w:w="1296" w:type="dxa"/>
            <w:tcBorders/>
          </w:tcPr>
          <w:p>
            <w:pPr>
              <w:pStyle w:val="TableText"/>
              <w:rPr>
                <w:b/>
              </w:rPr>
            </w:pPr>
            <w:r>
              <w:rPr>
                <w:b/>
              </w:rPr>
              <w:t>TCC’s</w:t>
            </w:r>
            <w:r>
              <w:rPr>
                <w:rStyle w:val="FootnoteCharacters"/>
                <w:rStyle w:val="FootnoteReference"/>
                <w:b/>
              </w:rPr>
              <w:footnoteReference w:id="3"/>
            </w:r>
          </w:p>
        </w:tc>
        <w:tc>
          <w:tcPr>
            <w:tcW w:w="810" w:type="dxa"/>
            <w:tcBorders/>
          </w:tcPr>
          <w:p>
            <w:pPr>
              <w:pStyle w:val="TableText"/>
              <w:snapToGrid w:val="false"/>
              <w:rPr>
                <w:b/>
              </w:rPr>
            </w:pPr>
            <w:r>
              <w:rPr>
                <w:b/>
              </w:rPr>
            </w:r>
          </w:p>
        </w:tc>
        <w:tc>
          <w:tcPr>
            <w:tcW w:w="990" w:type="dxa"/>
            <w:tcBorders/>
          </w:tcPr>
          <w:p>
            <w:pPr>
              <w:pStyle w:val="TableText"/>
              <w:snapToGrid w:val="false"/>
              <w:jc w:val="end"/>
              <w:rPr/>
            </w:pPr>
            <w:r>
              <w:rPr/>
            </w:r>
          </w:p>
        </w:tc>
        <w:tc>
          <w:tcPr>
            <w:tcW w:w="720" w:type="dxa"/>
            <w:tcBorders/>
          </w:tcPr>
          <w:p>
            <w:pPr>
              <w:pStyle w:val="TableText"/>
              <w:snapToGrid w:val="false"/>
              <w:jc w:val="end"/>
              <w:rPr/>
            </w:pPr>
            <w:r>
              <w:rPr/>
            </w:r>
          </w:p>
        </w:tc>
        <w:tc>
          <w:tcPr>
            <w:tcW w:w="1350" w:type="dxa"/>
            <w:tcBorders/>
          </w:tcPr>
          <w:p>
            <w:pPr>
              <w:pStyle w:val="TableText"/>
              <w:snapToGrid w:val="false"/>
              <w:rPr/>
            </w:pPr>
            <w:r>
              <w:rPr/>
            </w:r>
          </w:p>
        </w:tc>
        <w:tc>
          <w:tcPr>
            <w:tcW w:w="810" w:type="dxa"/>
            <w:tcBorders/>
          </w:tcPr>
          <w:p>
            <w:pPr>
              <w:pStyle w:val="TableText"/>
              <w:snapToGrid w:val="false"/>
              <w:rPr/>
            </w:pPr>
            <w:r>
              <w:rPr/>
            </w:r>
          </w:p>
        </w:tc>
        <w:tc>
          <w:tcPr>
            <w:tcW w:w="720" w:type="dxa"/>
            <w:tcBorders/>
          </w:tcPr>
          <w:p>
            <w:pPr>
              <w:pStyle w:val="TableText"/>
              <w:snapToGrid w:val="false"/>
              <w:jc w:val="end"/>
              <w:rPr/>
            </w:pPr>
            <w:r>
              <w:rPr/>
            </w:r>
          </w:p>
        </w:tc>
        <w:tc>
          <w:tcPr>
            <w:tcW w:w="990" w:type="dxa"/>
            <w:tcBorders/>
          </w:tcPr>
          <w:p>
            <w:pPr>
              <w:pStyle w:val="TableText"/>
              <w:snapToGrid w:val="false"/>
              <w:rPr/>
            </w:pPr>
            <w:r>
              <w:rPr/>
            </w:r>
          </w:p>
        </w:tc>
        <w:tc>
          <w:tcPr>
            <w:tcW w:w="990" w:type="dxa"/>
            <w:tcBorders/>
          </w:tcPr>
          <w:p>
            <w:pPr>
              <w:pStyle w:val="TableText"/>
              <w:snapToGrid w:val="false"/>
              <w:rPr/>
            </w:pPr>
            <w:r>
              <w:rPr/>
            </w:r>
          </w:p>
        </w:tc>
        <w:tc>
          <w:tcPr>
            <w:tcW w:w="1080" w:type="dxa"/>
            <w:tcBorders/>
          </w:tcPr>
          <w:p>
            <w:pPr>
              <w:pStyle w:val="TableText"/>
              <w:snapToGrid w:val="false"/>
              <w:jc w:val="end"/>
              <w:rPr/>
            </w:pPr>
            <w:r>
              <w:rPr/>
            </w:r>
          </w:p>
        </w:tc>
        <w:tc>
          <w:tcPr>
            <w:tcW w:w="1080" w:type="dxa"/>
            <w:tcBorders/>
          </w:tcPr>
          <w:p>
            <w:pPr>
              <w:pStyle w:val="TableText"/>
              <w:snapToGrid w:val="false"/>
              <w:jc w:val="end"/>
              <w:rPr/>
            </w:pPr>
            <w:r>
              <w:rPr/>
            </w:r>
          </w:p>
        </w:tc>
        <w:tc>
          <w:tcPr>
            <w:tcW w:w="2115" w:type="dxa"/>
            <w:tcBorders/>
          </w:tcPr>
          <w:p>
            <w:pPr>
              <w:pStyle w:val="TableText"/>
              <w:snapToGrid w:val="false"/>
              <w:rPr/>
            </w:pPr>
            <w:r>
              <w:rPr/>
            </w:r>
          </w:p>
        </w:tc>
        <w:tc>
          <w:tcPr>
            <w:tcW w:w="1440" w:type="dxa"/>
            <w:tcBorders/>
          </w:tcPr>
          <w:p>
            <w:pPr>
              <w:pStyle w:val="TableText"/>
              <w:snapToGrid w:val="false"/>
              <w:rPr/>
            </w:pPr>
            <w:r>
              <w:rPr/>
            </w:r>
          </w:p>
        </w:tc>
      </w:tr>
      <w:tr>
        <w:trPr/>
        <w:tc>
          <w:tcPr>
            <w:tcW w:w="1296" w:type="dxa"/>
            <w:tcBorders/>
          </w:tcPr>
          <w:p>
            <w:pPr>
              <w:pStyle w:val="TableText"/>
              <w:rPr/>
            </w:pPr>
            <w:r>
              <w:rPr/>
              <w:t>CONTRACT_ID</w:t>
            </w:r>
          </w:p>
        </w:tc>
        <w:tc>
          <w:tcPr>
            <w:tcW w:w="810" w:type="dxa"/>
            <w:tcBorders/>
          </w:tcPr>
          <w:p>
            <w:pPr>
              <w:pStyle w:val="TableText"/>
              <w:rPr/>
            </w:pPr>
            <w:r>
              <w:rPr/>
              <w:t>START_D</w:t>
            </w:r>
          </w:p>
        </w:tc>
        <w:tc>
          <w:tcPr>
            <w:tcW w:w="990" w:type="dxa"/>
            <w:tcBorders/>
          </w:tcPr>
          <w:p>
            <w:pPr>
              <w:pStyle w:val="TableText"/>
              <w:jc w:val="end"/>
              <w:rPr/>
            </w:pPr>
            <w:r>
              <w:rPr/>
              <w:t>END_DATE</w:t>
            </w:r>
          </w:p>
        </w:tc>
        <w:tc>
          <w:tcPr>
            <w:tcW w:w="720" w:type="dxa"/>
            <w:tcBorders/>
          </w:tcPr>
          <w:p>
            <w:pPr>
              <w:pStyle w:val="TableText"/>
              <w:jc w:val="end"/>
              <w:rPr/>
            </w:pPr>
            <w:r>
              <w:rPr/>
              <w:t>POI_ID</w:t>
            </w:r>
          </w:p>
        </w:tc>
        <w:tc>
          <w:tcPr>
            <w:tcW w:w="1350" w:type="dxa"/>
            <w:tcBorders/>
          </w:tcPr>
          <w:p>
            <w:pPr>
              <w:pStyle w:val="TableText"/>
              <w:rPr/>
            </w:pPr>
            <w:r>
              <w:rPr/>
              <w:t>POI NAME</w:t>
            </w:r>
          </w:p>
        </w:tc>
        <w:tc>
          <w:tcPr>
            <w:tcW w:w="810" w:type="dxa"/>
            <w:tcBorders/>
          </w:tcPr>
          <w:p>
            <w:pPr>
              <w:pStyle w:val="TableText"/>
              <w:rPr/>
            </w:pPr>
            <w:r>
              <w:rPr/>
              <w:t>POI _ZON</w:t>
            </w:r>
          </w:p>
        </w:tc>
        <w:tc>
          <w:tcPr>
            <w:tcW w:w="720" w:type="dxa"/>
            <w:tcBorders/>
          </w:tcPr>
          <w:p>
            <w:pPr>
              <w:pStyle w:val="TableText"/>
              <w:jc w:val="end"/>
              <w:rPr/>
            </w:pPr>
            <w:r>
              <w:rPr/>
              <w:t>POW_I</w:t>
            </w:r>
          </w:p>
        </w:tc>
        <w:tc>
          <w:tcPr>
            <w:tcW w:w="990" w:type="dxa"/>
            <w:tcBorders/>
          </w:tcPr>
          <w:p>
            <w:pPr>
              <w:pStyle w:val="TableText"/>
              <w:rPr/>
            </w:pPr>
            <w:r>
              <w:rPr/>
              <w:t>POW NAME</w:t>
            </w:r>
          </w:p>
        </w:tc>
        <w:tc>
          <w:tcPr>
            <w:tcW w:w="990" w:type="dxa"/>
            <w:tcBorders/>
          </w:tcPr>
          <w:p>
            <w:pPr>
              <w:pStyle w:val="TableText"/>
              <w:rPr/>
            </w:pPr>
            <w:r>
              <w:rPr/>
              <w:t>POW_ZONE</w:t>
            </w:r>
          </w:p>
        </w:tc>
        <w:tc>
          <w:tcPr>
            <w:tcW w:w="1080" w:type="dxa"/>
            <w:tcBorders/>
          </w:tcPr>
          <w:p>
            <w:pPr>
              <w:pStyle w:val="TableText"/>
              <w:jc w:val="end"/>
              <w:rPr/>
            </w:pPr>
            <w:r>
              <w:rPr/>
              <w:t>SUMMER</w:t>
            </w:r>
          </w:p>
        </w:tc>
        <w:tc>
          <w:tcPr>
            <w:tcW w:w="1080" w:type="dxa"/>
            <w:tcBorders/>
          </w:tcPr>
          <w:p>
            <w:pPr>
              <w:pStyle w:val="TableText"/>
              <w:jc w:val="end"/>
              <w:rPr/>
            </w:pPr>
            <w:r>
              <w:rPr/>
              <w:t>WINTER</w:t>
            </w:r>
          </w:p>
        </w:tc>
        <w:tc>
          <w:tcPr>
            <w:tcW w:w="2115" w:type="dxa"/>
            <w:tcBorders/>
          </w:tcPr>
          <w:p>
            <w:pPr>
              <w:pStyle w:val="TableText"/>
              <w:rPr/>
            </w:pPr>
            <w:r>
              <w:rPr/>
              <w:t>PRIMARY_HOLDER</w:t>
            </w:r>
          </w:p>
        </w:tc>
        <w:tc>
          <w:tcPr>
            <w:tcW w:w="1440" w:type="dxa"/>
            <w:tcBorders/>
          </w:tcPr>
          <w:p>
            <w:pPr>
              <w:pStyle w:val="TableText"/>
              <w:snapToGrid w:val="false"/>
              <w:rPr/>
            </w:pPr>
            <w:r>
              <w:rPr/>
            </w:r>
          </w:p>
        </w:tc>
      </w:tr>
      <w:tr>
        <w:trPr/>
        <w:tc>
          <w:tcPr>
            <w:tcW w:w="1296" w:type="dxa"/>
            <w:tcBorders/>
          </w:tcPr>
          <w:p>
            <w:pPr>
              <w:pStyle w:val="TableText"/>
              <w:jc w:val="end"/>
              <w:rPr/>
            </w:pPr>
            <w:r>
              <w:rPr/>
              <w:t>2622</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23575</w:t>
            </w:r>
          </w:p>
        </w:tc>
        <w:tc>
          <w:tcPr>
            <w:tcW w:w="1350" w:type="dxa"/>
            <w:tcBorders/>
          </w:tcPr>
          <w:p>
            <w:pPr>
              <w:pStyle w:val="TableText"/>
              <w:rPr/>
            </w:pPr>
            <w:r>
              <w:rPr/>
              <w:t>NINE_MILE_1</w:t>
            </w:r>
          </w:p>
        </w:tc>
        <w:tc>
          <w:tcPr>
            <w:tcW w:w="810" w:type="dxa"/>
            <w:tcBorders/>
          </w:tcPr>
          <w:p>
            <w:pPr>
              <w:pStyle w:val="TableText"/>
              <w:rPr/>
            </w:pPr>
            <w:r>
              <w:rPr/>
              <w:t>CENTRL</w:t>
            </w:r>
          </w:p>
        </w:tc>
        <w:tc>
          <w:tcPr>
            <w:tcW w:w="720" w:type="dxa"/>
            <w:tcBorders/>
          </w:tcPr>
          <w:p>
            <w:pPr>
              <w:pStyle w:val="TableText"/>
              <w:jc w:val="end"/>
              <w:rPr/>
            </w:pPr>
            <w:r>
              <w:rPr/>
              <w:t>61754</w:t>
            </w:r>
          </w:p>
        </w:tc>
        <w:tc>
          <w:tcPr>
            <w:tcW w:w="990" w:type="dxa"/>
            <w:tcBorders/>
          </w:tcPr>
          <w:p>
            <w:pPr>
              <w:pStyle w:val="TableText"/>
              <w:rPr/>
            </w:pPr>
            <w:r>
              <w:rPr/>
              <w:t>CENTRL</w:t>
            </w:r>
          </w:p>
        </w:tc>
        <w:tc>
          <w:tcPr>
            <w:tcW w:w="990" w:type="dxa"/>
            <w:tcBorders/>
          </w:tcPr>
          <w:p>
            <w:pPr>
              <w:pStyle w:val="TableText"/>
              <w:rPr/>
            </w:pPr>
            <w:r>
              <w:rPr/>
              <w:t>CENTRL</w:t>
            </w:r>
          </w:p>
        </w:tc>
        <w:tc>
          <w:tcPr>
            <w:tcW w:w="1080" w:type="dxa"/>
            <w:tcBorders/>
          </w:tcPr>
          <w:p>
            <w:pPr>
              <w:pStyle w:val="TableText"/>
              <w:jc w:val="end"/>
              <w:rPr/>
            </w:pPr>
            <w:r>
              <w:rPr/>
              <w:t>23</w:t>
            </w:r>
          </w:p>
        </w:tc>
        <w:tc>
          <w:tcPr>
            <w:tcW w:w="1080" w:type="dxa"/>
            <w:tcBorders/>
          </w:tcPr>
          <w:p>
            <w:pPr>
              <w:pStyle w:val="TableText"/>
              <w:jc w:val="end"/>
              <w:rPr/>
            </w:pPr>
            <w:r>
              <w:rPr/>
              <w:t>23</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2623</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61754</w:t>
            </w:r>
          </w:p>
        </w:tc>
        <w:tc>
          <w:tcPr>
            <w:tcW w:w="1350" w:type="dxa"/>
            <w:tcBorders/>
          </w:tcPr>
          <w:p>
            <w:pPr>
              <w:pStyle w:val="TableText"/>
              <w:rPr/>
            </w:pPr>
            <w:r>
              <w:rPr/>
              <w:t>CENTRL</w:t>
            </w:r>
          </w:p>
        </w:tc>
        <w:tc>
          <w:tcPr>
            <w:tcW w:w="810" w:type="dxa"/>
            <w:tcBorders/>
          </w:tcPr>
          <w:p>
            <w:pPr>
              <w:pStyle w:val="TableText"/>
              <w:rPr/>
            </w:pPr>
            <w:r>
              <w:rPr/>
              <w:t>CENTRL</w:t>
            </w:r>
          </w:p>
        </w:tc>
        <w:tc>
          <w:tcPr>
            <w:tcW w:w="720" w:type="dxa"/>
            <w:tcBorders/>
          </w:tcPr>
          <w:p>
            <w:pPr>
              <w:pStyle w:val="TableText"/>
              <w:jc w:val="end"/>
              <w:rPr/>
            </w:pPr>
            <w:r>
              <w:rPr/>
              <w:t>61757</w:t>
            </w:r>
          </w:p>
        </w:tc>
        <w:tc>
          <w:tcPr>
            <w:tcW w:w="990" w:type="dxa"/>
            <w:tcBorders/>
          </w:tcPr>
          <w:p>
            <w:pPr>
              <w:pStyle w:val="TableText"/>
              <w:rPr/>
            </w:pPr>
            <w:r>
              <w:rPr/>
              <w:t>CAPITL</w:t>
            </w:r>
          </w:p>
        </w:tc>
        <w:tc>
          <w:tcPr>
            <w:tcW w:w="990" w:type="dxa"/>
            <w:tcBorders/>
          </w:tcPr>
          <w:p>
            <w:pPr>
              <w:pStyle w:val="TableText"/>
              <w:rPr/>
            </w:pPr>
            <w:r>
              <w:rPr/>
              <w:t>CAPITL</w:t>
            </w:r>
          </w:p>
        </w:tc>
        <w:tc>
          <w:tcPr>
            <w:tcW w:w="1080" w:type="dxa"/>
            <w:tcBorders/>
          </w:tcPr>
          <w:p>
            <w:pPr>
              <w:pStyle w:val="TableText"/>
              <w:jc w:val="end"/>
              <w:rPr/>
            </w:pPr>
            <w:r>
              <w:rPr/>
              <w:t>23</w:t>
            </w:r>
          </w:p>
        </w:tc>
        <w:tc>
          <w:tcPr>
            <w:tcW w:w="1080" w:type="dxa"/>
            <w:tcBorders/>
          </w:tcPr>
          <w:p>
            <w:pPr>
              <w:pStyle w:val="TableText"/>
              <w:jc w:val="end"/>
              <w:rPr/>
            </w:pPr>
            <w:r>
              <w:rPr/>
              <w:t>23</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2624</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23575</w:t>
            </w:r>
          </w:p>
        </w:tc>
        <w:tc>
          <w:tcPr>
            <w:tcW w:w="1350" w:type="dxa"/>
            <w:tcBorders/>
          </w:tcPr>
          <w:p>
            <w:pPr>
              <w:pStyle w:val="TableText"/>
              <w:rPr/>
            </w:pPr>
            <w:r>
              <w:rPr/>
              <w:t>NINE_MILE_1</w:t>
            </w:r>
          </w:p>
        </w:tc>
        <w:tc>
          <w:tcPr>
            <w:tcW w:w="810" w:type="dxa"/>
            <w:tcBorders/>
          </w:tcPr>
          <w:p>
            <w:pPr>
              <w:pStyle w:val="TableText"/>
              <w:rPr/>
            </w:pPr>
            <w:r>
              <w:rPr/>
              <w:t>CENTRL</w:t>
            </w:r>
          </w:p>
        </w:tc>
        <w:tc>
          <w:tcPr>
            <w:tcW w:w="720" w:type="dxa"/>
            <w:tcBorders/>
          </w:tcPr>
          <w:p>
            <w:pPr>
              <w:pStyle w:val="TableText"/>
              <w:jc w:val="end"/>
              <w:rPr/>
            </w:pPr>
            <w:r>
              <w:rPr/>
              <w:t>61754</w:t>
            </w:r>
          </w:p>
        </w:tc>
        <w:tc>
          <w:tcPr>
            <w:tcW w:w="990" w:type="dxa"/>
            <w:tcBorders/>
          </w:tcPr>
          <w:p>
            <w:pPr>
              <w:pStyle w:val="TableText"/>
              <w:rPr/>
            </w:pPr>
            <w:r>
              <w:rPr/>
              <w:t>CENTRL</w:t>
            </w:r>
          </w:p>
        </w:tc>
        <w:tc>
          <w:tcPr>
            <w:tcW w:w="990" w:type="dxa"/>
            <w:tcBorders/>
          </w:tcPr>
          <w:p>
            <w:pPr>
              <w:pStyle w:val="TableText"/>
              <w:rPr/>
            </w:pPr>
            <w:r>
              <w:rPr/>
              <w:t>CENTRL</w:t>
            </w:r>
          </w:p>
        </w:tc>
        <w:tc>
          <w:tcPr>
            <w:tcW w:w="1080" w:type="dxa"/>
            <w:tcBorders/>
          </w:tcPr>
          <w:p>
            <w:pPr>
              <w:pStyle w:val="TableText"/>
              <w:jc w:val="end"/>
              <w:rPr/>
            </w:pPr>
            <w:r>
              <w:rPr/>
              <w:t>32</w:t>
            </w:r>
          </w:p>
        </w:tc>
        <w:tc>
          <w:tcPr>
            <w:tcW w:w="1080" w:type="dxa"/>
            <w:tcBorders/>
          </w:tcPr>
          <w:p>
            <w:pPr>
              <w:pStyle w:val="TableText"/>
              <w:jc w:val="end"/>
              <w:rPr/>
            </w:pPr>
            <w:r>
              <w:rPr/>
              <w:t>32</w:t>
            </w:r>
          </w:p>
        </w:tc>
        <w:tc>
          <w:tcPr>
            <w:tcW w:w="2115" w:type="dxa"/>
            <w:tcBorders/>
          </w:tcPr>
          <w:p>
            <w:pPr>
              <w:pStyle w:val="TableText"/>
              <w:rPr/>
            </w:pPr>
            <w:r>
              <w:rPr/>
              <w:t>Niagara Mohawk Power Corp.</w:t>
            </w:r>
          </w:p>
        </w:tc>
        <w:tc>
          <w:tcPr>
            <w:tcW w:w="1440" w:type="dxa"/>
            <w:tcBorders/>
          </w:tcPr>
          <w:p>
            <w:pPr>
              <w:pStyle w:val="TableText"/>
              <w:rPr>
                <w:b/>
              </w:rPr>
            </w:pPr>
            <w:r>
              <w:rPr/>
              <w:t>Auction Purchase</w:t>
            </w:r>
          </w:p>
        </w:tc>
      </w:tr>
      <w:tr>
        <w:trPr/>
        <w:tc>
          <w:tcPr>
            <w:tcW w:w="1296" w:type="dxa"/>
            <w:tcBorders/>
          </w:tcPr>
          <w:p>
            <w:pPr>
              <w:pStyle w:val="TableText"/>
              <w:jc w:val="end"/>
              <w:rPr/>
            </w:pPr>
            <w:r>
              <w:rPr/>
              <w:t>2625</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61754</w:t>
            </w:r>
          </w:p>
        </w:tc>
        <w:tc>
          <w:tcPr>
            <w:tcW w:w="1350" w:type="dxa"/>
            <w:tcBorders/>
          </w:tcPr>
          <w:p>
            <w:pPr>
              <w:pStyle w:val="TableText"/>
              <w:rPr/>
            </w:pPr>
            <w:r>
              <w:rPr/>
              <w:t>CENTRL</w:t>
            </w:r>
          </w:p>
        </w:tc>
        <w:tc>
          <w:tcPr>
            <w:tcW w:w="810" w:type="dxa"/>
            <w:tcBorders/>
          </w:tcPr>
          <w:p>
            <w:pPr>
              <w:pStyle w:val="TableText"/>
              <w:rPr/>
            </w:pPr>
            <w:r>
              <w:rPr/>
              <w:t>CENTRL</w:t>
            </w:r>
          </w:p>
        </w:tc>
        <w:tc>
          <w:tcPr>
            <w:tcW w:w="720" w:type="dxa"/>
            <w:tcBorders/>
          </w:tcPr>
          <w:p>
            <w:pPr>
              <w:pStyle w:val="TableText"/>
              <w:jc w:val="end"/>
              <w:rPr/>
            </w:pPr>
            <w:r>
              <w:rPr/>
              <w:t>61757</w:t>
            </w:r>
          </w:p>
        </w:tc>
        <w:tc>
          <w:tcPr>
            <w:tcW w:w="990" w:type="dxa"/>
            <w:tcBorders/>
          </w:tcPr>
          <w:p>
            <w:pPr>
              <w:pStyle w:val="TableText"/>
              <w:rPr/>
            </w:pPr>
            <w:r>
              <w:rPr/>
              <w:t>CAPITL</w:t>
            </w:r>
          </w:p>
        </w:tc>
        <w:tc>
          <w:tcPr>
            <w:tcW w:w="990" w:type="dxa"/>
            <w:tcBorders/>
          </w:tcPr>
          <w:p>
            <w:pPr>
              <w:pStyle w:val="TableText"/>
              <w:rPr/>
            </w:pPr>
            <w:r>
              <w:rPr/>
              <w:t>CAPITL</w:t>
            </w:r>
          </w:p>
        </w:tc>
        <w:tc>
          <w:tcPr>
            <w:tcW w:w="1080" w:type="dxa"/>
            <w:tcBorders/>
          </w:tcPr>
          <w:p>
            <w:pPr>
              <w:pStyle w:val="TableText"/>
              <w:jc w:val="end"/>
              <w:rPr/>
            </w:pPr>
            <w:r>
              <w:rPr/>
              <w:t>32</w:t>
            </w:r>
          </w:p>
        </w:tc>
        <w:tc>
          <w:tcPr>
            <w:tcW w:w="1080" w:type="dxa"/>
            <w:tcBorders/>
          </w:tcPr>
          <w:p>
            <w:pPr>
              <w:pStyle w:val="TableText"/>
              <w:jc w:val="end"/>
              <w:rPr/>
            </w:pPr>
            <w:r>
              <w:rPr/>
              <w:t>32</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2626</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23575</w:t>
            </w:r>
          </w:p>
        </w:tc>
        <w:tc>
          <w:tcPr>
            <w:tcW w:w="1350" w:type="dxa"/>
            <w:tcBorders/>
          </w:tcPr>
          <w:p>
            <w:pPr>
              <w:pStyle w:val="TableText"/>
              <w:rPr/>
            </w:pPr>
            <w:r>
              <w:rPr/>
              <w:t>NINE_MILE_1</w:t>
            </w:r>
          </w:p>
        </w:tc>
        <w:tc>
          <w:tcPr>
            <w:tcW w:w="810" w:type="dxa"/>
            <w:tcBorders/>
          </w:tcPr>
          <w:p>
            <w:pPr>
              <w:pStyle w:val="TableText"/>
              <w:rPr/>
            </w:pPr>
            <w:r>
              <w:rPr/>
              <w:t>CENTRL</w:t>
            </w:r>
          </w:p>
        </w:tc>
        <w:tc>
          <w:tcPr>
            <w:tcW w:w="720" w:type="dxa"/>
            <w:tcBorders/>
          </w:tcPr>
          <w:p>
            <w:pPr>
              <w:pStyle w:val="TableText"/>
              <w:jc w:val="end"/>
              <w:rPr/>
            </w:pPr>
            <w:r>
              <w:rPr/>
              <w:t>61754</w:t>
            </w:r>
          </w:p>
        </w:tc>
        <w:tc>
          <w:tcPr>
            <w:tcW w:w="990" w:type="dxa"/>
            <w:tcBorders/>
          </w:tcPr>
          <w:p>
            <w:pPr>
              <w:pStyle w:val="TableText"/>
              <w:rPr/>
            </w:pPr>
            <w:r>
              <w:rPr/>
              <w:t>CENTRL</w:t>
            </w:r>
          </w:p>
        </w:tc>
        <w:tc>
          <w:tcPr>
            <w:tcW w:w="990" w:type="dxa"/>
            <w:tcBorders/>
          </w:tcPr>
          <w:p>
            <w:pPr>
              <w:pStyle w:val="TableText"/>
              <w:rPr/>
            </w:pPr>
            <w:r>
              <w:rPr/>
              <w:t>CENTRL</w:t>
            </w:r>
          </w:p>
        </w:tc>
        <w:tc>
          <w:tcPr>
            <w:tcW w:w="1080" w:type="dxa"/>
            <w:tcBorders/>
          </w:tcPr>
          <w:p>
            <w:pPr>
              <w:pStyle w:val="TableText"/>
              <w:jc w:val="end"/>
              <w:rPr/>
            </w:pPr>
            <w:r>
              <w:rPr/>
              <w:t>23</w:t>
            </w:r>
          </w:p>
        </w:tc>
        <w:tc>
          <w:tcPr>
            <w:tcW w:w="1080" w:type="dxa"/>
            <w:tcBorders/>
          </w:tcPr>
          <w:p>
            <w:pPr>
              <w:pStyle w:val="TableText"/>
              <w:jc w:val="end"/>
              <w:rPr/>
            </w:pPr>
            <w:r>
              <w:rPr/>
              <w:t>23</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2627</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61754</w:t>
            </w:r>
          </w:p>
        </w:tc>
        <w:tc>
          <w:tcPr>
            <w:tcW w:w="1350" w:type="dxa"/>
            <w:tcBorders/>
          </w:tcPr>
          <w:p>
            <w:pPr>
              <w:pStyle w:val="TableText"/>
              <w:rPr/>
            </w:pPr>
            <w:r>
              <w:rPr/>
              <w:t>CENTRL</w:t>
            </w:r>
          </w:p>
        </w:tc>
        <w:tc>
          <w:tcPr>
            <w:tcW w:w="810" w:type="dxa"/>
            <w:tcBorders/>
          </w:tcPr>
          <w:p>
            <w:pPr>
              <w:pStyle w:val="TableText"/>
              <w:rPr/>
            </w:pPr>
            <w:r>
              <w:rPr/>
              <w:t>CENTRL</w:t>
            </w:r>
          </w:p>
        </w:tc>
        <w:tc>
          <w:tcPr>
            <w:tcW w:w="720" w:type="dxa"/>
            <w:tcBorders/>
          </w:tcPr>
          <w:p>
            <w:pPr>
              <w:pStyle w:val="TableText"/>
              <w:jc w:val="end"/>
              <w:rPr/>
            </w:pPr>
            <w:r>
              <w:rPr/>
              <w:t>61757</w:t>
            </w:r>
          </w:p>
        </w:tc>
        <w:tc>
          <w:tcPr>
            <w:tcW w:w="990" w:type="dxa"/>
            <w:tcBorders/>
          </w:tcPr>
          <w:p>
            <w:pPr>
              <w:pStyle w:val="TableText"/>
              <w:rPr/>
            </w:pPr>
            <w:r>
              <w:rPr/>
              <w:t>CAPITL</w:t>
            </w:r>
          </w:p>
        </w:tc>
        <w:tc>
          <w:tcPr>
            <w:tcW w:w="990" w:type="dxa"/>
            <w:tcBorders/>
          </w:tcPr>
          <w:p>
            <w:pPr>
              <w:pStyle w:val="TableText"/>
              <w:rPr/>
            </w:pPr>
            <w:r>
              <w:rPr/>
              <w:t>CAPITL</w:t>
            </w:r>
          </w:p>
        </w:tc>
        <w:tc>
          <w:tcPr>
            <w:tcW w:w="1080" w:type="dxa"/>
            <w:tcBorders/>
          </w:tcPr>
          <w:p>
            <w:pPr>
              <w:pStyle w:val="TableText"/>
              <w:jc w:val="end"/>
              <w:rPr/>
            </w:pPr>
            <w:r>
              <w:rPr/>
              <w:t>23</w:t>
            </w:r>
          </w:p>
        </w:tc>
        <w:tc>
          <w:tcPr>
            <w:tcW w:w="1080" w:type="dxa"/>
            <w:tcBorders/>
          </w:tcPr>
          <w:p>
            <w:pPr>
              <w:pStyle w:val="TableText"/>
              <w:jc w:val="end"/>
              <w:rPr/>
            </w:pPr>
            <w:r>
              <w:rPr/>
              <w:t>23</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2628</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23575</w:t>
            </w:r>
          </w:p>
        </w:tc>
        <w:tc>
          <w:tcPr>
            <w:tcW w:w="1350" w:type="dxa"/>
            <w:tcBorders/>
          </w:tcPr>
          <w:p>
            <w:pPr>
              <w:pStyle w:val="TableText"/>
              <w:rPr/>
            </w:pPr>
            <w:r>
              <w:rPr/>
              <w:t>NINE_MILE_1</w:t>
            </w:r>
          </w:p>
        </w:tc>
        <w:tc>
          <w:tcPr>
            <w:tcW w:w="810" w:type="dxa"/>
            <w:tcBorders/>
          </w:tcPr>
          <w:p>
            <w:pPr>
              <w:pStyle w:val="TableText"/>
              <w:rPr/>
            </w:pPr>
            <w:r>
              <w:rPr/>
              <w:t>CENTRL</w:t>
            </w:r>
          </w:p>
        </w:tc>
        <w:tc>
          <w:tcPr>
            <w:tcW w:w="720" w:type="dxa"/>
            <w:tcBorders/>
          </w:tcPr>
          <w:p>
            <w:pPr>
              <w:pStyle w:val="TableText"/>
              <w:jc w:val="end"/>
              <w:rPr/>
            </w:pPr>
            <w:r>
              <w:rPr/>
              <w:t>61754</w:t>
            </w:r>
          </w:p>
        </w:tc>
        <w:tc>
          <w:tcPr>
            <w:tcW w:w="990" w:type="dxa"/>
            <w:tcBorders/>
          </w:tcPr>
          <w:p>
            <w:pPr>
              <w:pStyle w:val="TableText"/>
              <w:rPr/>
            </w:pPr>
            <w:r>
              <w:rPr/>
              <w:t>CENTRL</w:t>
            </w:r>
          </w:p>
        </w:tc>
        <w:tc>
          <w:tcPr>
            <w:tcW w:w="990" w:type="dxa"/>
            <w:tcBorders/>
          </w:tcPr>
          <w:p>
            <w:pPr>
              <w:pStyle w:val="TableText"/>
              <w:rPr/>
            </w:pPr>
            <w:r>
              <w:rPr/>
              <w:t>CENTRL</w:t>
            </w:r>
          </w:p>
        </w:tc>
        <w:tc>
          <w:tcPr>
            <w:tcW w:w="1080" w:type="dxa"/>
            <w:tcBorders/>
          </w:tcPr>
          <w:p>
            <w:pPr>
              <w:pStyle w:val="TableText"/>
              <w:jc w:val="end"/>
              <w:rPr/>
            </w:pPr>
            <w:r>
              <w:rPr/>
              <w:t>32</w:t>
            </w:r>
          </w:p>
        </w:tc>
        <w:tc>
          <w:tcPr>
            <w:tcW w:w="1080" w:type="dxa"/>
            <w:tcBorders/>
          </w:tcPr>
          <w:p>
            <w:pPr>
              <w:pStyle w:val="TableText"/>
              <w:jc w:val="end"/>
              <w:rPr/>
            </w:pPr>
            <w:r>
              <w:rPr/>
              <w:t>32</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2629</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61754</w:t>
            </w:r>
          </w:p>
        </w:tc>
        <w:tc>
          <w:tcPr>
            <w:tcW w:w="1350" w:type="dxa"/>
            <w:tcBorders/>
          </w:tcPr>
          <w:p>
            <w:pPr>
              <w:pStyle w:val="TableText"/>
              <w:rPr/>
            </w:pPr>
            <w:r>
              <w:rPr/>
              <w:t>CENTRL</w:t>
            </w:r>
          </w:p>
        </w:tc>
        <w:tc>
          <w:tcPr>
            <w:tcW w:w="810" w:type="dxa"/>
            <w:tcBorders/>
          </w:tcPr>
          <w:p>
            <w:pPr>
              <w:pStyle w:val="TableText"/>
              <w:rPr/>
            </w:pPr>
            <w:r>
              <w:rPr/>
              <w:t>CENTRL</w:t>
            </w:r>
          </w:p>
        </w:tc>
        <w:tc>
          <w:tcPr>
            <w:tcW w:w="720" w:type="dxa"/>
            <w:tcBorders/>
          </w:tcPr>
          <w:p>
            <w:pPr>
              <w:pStyle w:val="TableText"/>
              <w:jc w:val="end"/>
              <w:rPr/>
            </w:pPr>
            <w:r>
              <w:rPr/>
              <w:t>61757</w:t>
            </w:r>
          </w:p>
        </w:tc>
        <w:tc>
          <w:tcPr>
            <w:tcW w:w="990" w:type="dxa"/>
            <w:tcBorders/>
          </w:tcPr>
          <w:p>
            <w:pPr>
              <w:pStyle w:val="TableText"/>
              <w:rPr/>
            </w:pPr>
            <w:r>
              <w:rPr/>
              <w:t>CAPITL</w:t>
            </w:r>
          </w:p>
        </w:tc>
        <w:tc>
          <w:tcPr>
            <w:tcW w:w="990" w:type="dxa"/>
            <w:tcBorders/>
          </w:tcPr>
          <w:p>
            <w:pPr>
              <w:pStyle w:val="TableText"/>
              <w:rPr/>
            </w:pPr>
            <w:r>
              <w:rPr/>
              <w:t>CAPITL</w:t>
            </w:r>
          </w:p>
        </w:tc>
        <w:tc>
          <w:tcPr>
            <w:tcW w:w="1080" w:type="dxa"/>
            <w:tcBorders/>
          </w:tcPr>
          <w:p>
            <w:pPr>
              <w:pStyle w:val="TableText"/>
              <w:jc w:val="end"/>
              <w:rPr/>
            </w:pPr>
            <w:r>
              <w:rPr/>
              <w:t>32</w:t>
            </w:r>
          </w:p>
        </w:tc>
        <w:tc>
          <w:tcPr>
            <w:tcW w:w="1080" w:type="dxa"/>
            <w:tcBorders/>
          </w:tcPr>
          <w:p>
            <w:pPr>
              <w:pStyle w:val="TableText"/>
              <w:jc w:val="end"/>
              <w:rPr/>
            </w:pPr>
            <w:r>
              <w:rPr/>
              <w:t>32</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2630</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23575</w:t>
            </w:r>
          </w:p>
        </w:tc>
        <w:tc>
          <w:tcPr>
            <w:tcW w:w="1350" w:type="dxa"/>
            <w:tcBorders/>
          </w:tcPr>
          <w:p>
            <w:pPr>
              <w:pStyle w:val="TableText"/>
              <w:rPr/>
            </w:pPr>
            <w:r>
              <w:rPr/>
              <w:t>NINE_MILE_1</w:t>
            </w:r>
          </w:p>
        </w:tc>
        <w:tc>
          <w:tcPr>
            <w:tcW w:w="810" w:type="dxa"/>
            <w:tcBorders/>
          </w:tcPr>
          <w:p>
            <w:pPr>
              <w:pStyle w:val="TableText"/>
              <w:rPr/>
            </w:pPr>
            <w:r>
              <w:rPr/>
              <w:t>CENTRL</w:t>
            </w:r>
          </w:p>
        </w:tc>
        <w:tc>
          <w:tcPr>
            <w:tcW w:w="720" w:type="dxa"/>
            <w:tcBorders/>
          </w:tcPr>
          <w:p>
            <w:pPr>
              <w:pStyle w:val="TableText"/>
              <w:jc w:val="end"/>
              <w:rPr/>
            </w:pPr>
            <w:r>
              <w:rPr/>
              <w:t>61754</w:t>
            </w:r>
          </w:p>
        </w:tc>
        <w:tc>
          <w:tcPr>
            <w:tcW w:w="990" w:type="dxa"/>
            <w:tcBorders/>
          </w:tcPr>
          <w:p>
            <w:pPr>
              <w:pStyle w:val="TableText"/>
              <w:rPr/>
            </w:pPr>
            <w:r>
              <w:rPr/>
              <w:t>CENTRL</w:t>
            </w:r>
          </w:p>
        </w:tc>
        <w:tc>
          <w:tcPr>
            <w:tcW w:w="990" w:type="dxa"/>
            <w:tcBorders/>
          </w:tcPr>
          <w:p>
            <w:pPr>
              <w:pStyle w:val="TableText"/>
              <w:rPr/>
            </w:pPr>
            <w:r>
              <w:rPr/>
              <w:t>CENTRL</w:t>
            </w:r>
          </w:p>
        </w:tc>
        <w:tc>
          <w:tcPr>
            <w:tcW w:w="1080" w:type="dxa"/>
            <w:tcBorders/>
          </w:tcPr>
          <w:p>
            <w:pPr>
              <w:pStyle w:val="TableText"/>
              <w:jc w:val="end"/>
              <w:rPr/>
            </w:pPr>
            <w:r>
              <w:rPr/>
              <w:t>23</w:t>
            </w:r>
          </w:p>
        </w:tc>
        <w:tc>
          <w:tcPr>
            <w:tcW w:w="1080" w:type="dxa"/>
            <w:tcBorders/>
          </w:tcPr>
          <w:p>
            <w:pPr>
              <w:pStyle w:val="TableText"/>
              <w:jc w:val="end"/>
              <w:rPr/>
            </w:pPr>
            <w:r>
              <w:rPr/>
              <w:t>23</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2631</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61754</w:t>
            </w:r>
          </w:p>
        </w:tc>
        <w:tc>
          <w:tcPr>
            <w:tcW w:w="1350" w:type="dxa"/>
            <w:tcBorders/>
          </w:tcPr>
          <w:p>
            <w:pPr>
              <w:pStyle w:val="TableText"/>
              <w:rPr/>
            </w:pPr>
            <w:r>
              <w:rPr/>
              <w:t>CENTRL</w:t>
            </w:r>
          </w:p>
        </w:tc>
        <w:tc>
          <w:tcPr>
            <w:tcW w:w="810" w:type="dxa"/>
            <w:tcBorders/>
          </w:tcPr>
          <w:p>
            <w:pPr>
              <w:pStyle w:val="TableText"/>
              <w:rPr/>
            </w:pPr>
            <w:r>
              <w:rPr/>
              <w:t>CENTRL</w:t>
            </w:r>
          </w:p>
        </w:tc>
        <w:tc>
          <w:tcPr>
            <w:tcW w:w="720" w:type="dxa"/>
            <w:tcBorders/>
          </w:tcPr>
          <w:p>
            <w:pPr>
              <w:pStyle w:val="TableText"/>
              <w:jc w:val="end"/>
              <w:rPr/>
            </w:pPr>
            <w:r>
              <w:rPr/>
              <w:t>61757</w:t>
            </w:r>
          </w:p>
        </w:tc>
        <w:tc>
          <w:tcPr>
            <w:tcW w:w="990" w:type="dxa"/>
            <w:tcBorders/>
          </w:tcPr>
          <w:p>
            <w:pPr>
              <w:pStyle w:val="TableText"/>
              <w:rPr/>
            </w:pPr>
            <w:r>
              <w:rPr/>
              <w:t>CAPITL</w:t>
            </w:r>
          </w:p>
        </w:tc>
        <w:tc>
          <w:tcPr>
            <w:tcW w:w="990" w:type="dxa"/>
            <w:tcBorders/>
          </w:tcPr>
          <w:p>
            <w:pPr>
              <w:pStyle w:val="TableText"/>
              <w:rPr/>
            </w:pPr>
            <w:r>
              <w:rPr/>
              <w:t>CAPITL</w:t>
            </w:r>
          </w:p>
        </w:tc>
        <w:tc>
          <w:tcPr>
            <w:tcW w:w="1080" w:type="dxa"/>
            <w:tcBorders/>
          </w:tcPr>
          <w:p>
            <w:pPr>
              <w:pStyle w:val="TableText"/>
              <w:jc w:val="end"/>
              <w:rPr/>
            </w:pPr>
            <w:r>
              <w:rPr/>
              <w:t>23</w:t>
            </w:r>
          </w:p>
        </w:tc>
        <w:tc>
          <w:tcPr>
            <w:tcW w:w="1080" w:type="dxa"/>
            <w:tcBorders/>
          </w:tcPr>
          <w:p>
            <w:pPr>
              <w:pStyle w:val="TableText"/>
              <w:jc w:val="end"/>
              <w:rPr/>
            </w:pPr>
            <w:r>
              <w:rPr/>
              <w:t>23</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2632</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23575</w:t>
            </w:r>
          </w:p>
        </w:tc>
        <w:tc>
          <w:tcPr>
            <w:tcW w:w="1350" w:type="dxa"/>
            <w:tcBorders/>
          </w:tcPr>
          <w:p>
            <w:pPr>
              <w:pStyle w:val="TableText"/>
              <w:rPr/>
            </w:pPr>
            <w:r>
              <w:rPr/>
              <w:t>NINE_MILE_1</w:t>
            </w:r>
          </w:p>
        </w:tc>
        <w:tc>
          <w:tcPr>
            <w:tcW w:w="810" w:type="dxa"/>
            <w:tcBorders/>
          </w:tcPr>
          <w:p>
            <w:pPr>
              <w:pStyle w:val="TableText"/>
              <w:rPr/>
            </w:pPr>
            <w:r>
              <w:rPr/>
              <w:t>CENTRL</w:t>
            </w:r>
          </w:p>
        </w:tc>
        <w:tc>
          <w:tcPr>
            <w:tcW w:w="720" w:type="dxa"/>
            <w:tcBorders/>
          </w:tcPr>
          <w:p>
            <w:pPr>
              <w:pStyle w:val="TableText"/>
              <w:jc w:val="end"/>
              <w:rPr/>
            </w:pPr>
            <w:r>
              <w:rPr/>
              <w:t>61754</w:t>
            </w:r>
          </w:p>
        </w:tc>
        <w:tc>
          <w:tcPr>
            <w:tcW w:w="990" w:type="dxa"/>
            <w:tcBorders/>
          </w:tcPr>
          <w:p>
            <w:pPr>
              <w:pStyle w:val="TableText"/>
              <w:rPr/>
            </w:pPr>
            <w:r>
              <w:rPr/>
              <w:t>CENTRL</w:t>
            </w:r>
          </w:p>
        </w:tc>
        <w:tc>
          <w:tcPr>
            <w:tcW w:w="990" w:type="dxa"/>
            <w:tcBorders/>
          </w:tcPr>
          <w:p>
            <w:pPr>
              <w:pStyle w:val="TableText"/>
              <w:rPr/>
            </w:pPr>
            <w:r>
              <w:rPr/>
              <w:t>CENTRL</w:t>
            </w:r>
          </w:p>
        </w:tc>
        <w:tc>
          <w:tcPr>
            <w:tcW w:w="1080" w:type="dxa"/>
            <w:tcBorders/>
          </w:tcPr>
          <w:p>
            <w:pPr>
              <w:pStyle w:val="TableText"/>
              <w:jc w:val="end"/>
              <w:rPr/>
            </w:pPr>
            <w:r>
              <w:rPr/>
              <w:t>32</w:t>
            </w:r>
          </w:p>
        </w:tc>
        <w:tc>
          <w:tcPr>
            <w:tcW w:w="1080" w:type="dxa"/>
            <w:tcBorders/>
          </w:tcPr>
          <w:p>
            <w:pPr>
              <w:pStyle w:val="TableText"/>
              <w:jc w:val="end"/>
              <w:rPr/>
            </w:pPr>
            <w:r>
              <w:rPr/>
              <w:t>32</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2633</w:t>
            </w:r>
          </w:p>
        </w:tc>
        <w:tc>
          <w:tcPr>
            <w:tcW w:w="810" w:type="dxa"/>
            <w:tcBorders/>
          </w:tcPr>
          <w:p>
            <w:pPr>
              <w:pStyle w:val="TableText"/>
              <w:rPr/>
            </w:pPr>
            <w:r>
              <w:rPr/>
              <w:t>1-Nov-0</w:t>
            </w:r>
          </w:p>
        </w:tc>
        <w:tc>
          <w:tcPr>
            <w:tcW w:w="990" w:type="dxa"/>
            <w:tcBorders/>
          </w:tcPr>
          <w:p>
            <w:pPr>
              <w:pStyle w:val="TableText"/>
              <w:jc w:val="end"/>
              <w:rPr/>
            </w:pPr>
            <w:r>
              <w:rPr/>
              <w:t>31-Oct-05</w:t>
            </w:r>
          </w:p>
        </w:tc>
        <w:tc>
          <w:tcPr>
            <w:tcW w:w="720" w:type="dxa"/>
            <w:tcBorders/>
          </w:tcPr>
          <w:p>
            <w:pPr>
              <w:pStyle w:val="TableText"/>
              <w:jc w:val="end"/>
              <w:rPr/>
            </w:pPr>
            <w:r>
              <w:rPr/>
              <w:t>61754</w:t>
            </w:r>
          </w:p>
        </w:tc>
        <w:tc>
          <w:tcPr>
            <w:tcW w:w="1350" w:type="dxa"/>
            <w:tcBorders/>
          </w:tcPr>
          <w:p>
            <w:pPr>
              <w:pStyle w:val="TableText"/>
              <w:rPr/>
            </w:pPr>
            <w:r>
              <w:rPr/>
              <w:t>CENTRL</w:t>
            </w:r>
          </w:p>
        </w:tc>
        <w:tc>
          <w:tcPr>
            <w:tcW w:w="810" w:type="dxa"/>
            <w:tcBorders/>
          </w:tcPr>
          <w:p>
            <w:pPr>
              <w:pStyle w:val="TableText"/>
              <w:rPr/>
            </w:pPr>
            <w:r>
              <w:rPr/>
              <w:t>CENTRL</w:t>
            </w:r>
          </w:p>
        </w:tc>
        <w:tc>
          <w:tcPr>
            <w:tcW w:w="720" w:type="dxa"/>
            <w:tcBorders/>
          </w:tcPr>
          <w:p>
            <w:pPr>
              <w:pStyle w:val="TableText"/>
              <w:jc w:val="end"/>
              <w:rPr/>
            </w:pPr>
            <w:r>
              <w:rPr/>
              <w:t>61757</w:t>
            </w:r>
          </w:p>
        </w:tc>
        <w:tc>
          <w:tcPr>
            <w:tcW w:w="990" w:type="dxa"/>
            <w:tcBorders/>
          </w:tcPr>
          <w:p>
            <w:pPr>
              <w:pStyle w:val="TableText"/>
              <w:rPr/>
            </w:pPr>
            <w:r>
              <w:rPr/>
              <w:t>CAPITL</w:t>
            </w:r>
          </w:p>
        </w:tc>
        <w:tc>
          <w:tcPr>
            <w:tcW w:w="990" w:type="dxa"/>
            <w:tcBorders/>
          </w:tcPr>
          <w:p>
            <w:pPr>
              <w:pStyle w:val="TableText"/>
              <w:rPr/>
            </w:pPr>
            <w:r>
              <w:rPr/>
              <w:t>CAPITL</w:t>
            </w:r>
          </w:p>
        </w:tc>
        <w:tc>
          <w:tcPr>
            <w:tcW w:w="1080" w:type="dxa"/>
            <w:tcBorders/>
          </w:tcPr>
          <w:p>
            <w:pPr>
              <w:pStyle w:val="TableText"/>
              <w:jc w:val="end"/>
              <w:rPr/>
            </w:pPr>
            <w:r>
              <w:rPr/>
              <w:t>32</w:t>
            </w:r>
          </w:p>
        </w:tc>
        <w:tc>
          <w:tcPr>
            <w:tcW w:w="1080" w:type="dxa"/>
            <w:tcBorders/>
          </w:tcPr>
          <w:p>
            <w:pPr>
              <w:pStyle w:val="TableText"/>
              <w:jc w:val="end"/>
              <w:rPr/>
            </w:pPr>
            <w:r>
              <w:rPr/>
              <w:t>32</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2634</w:t>
            </w:r>
          </w:p>
        </w:tc>
        <w:tc>
          <w:tcPr>
            <w:tcW w:w="810" w:type="dxa"/>
            <w:tcBorders/>
          </w:tcPr>
          <w:p>
            <w:pPr>
              <w:pStyle w:val="TableText"/>
              <w:rPr/>
            </w:pPr>
            <w:r>
              <w:rPr/>
              <w:t>1-Nov-0</w:t>
            </w:r>
          </w:p>
        </w:tc>
        <w:tc>
          <w:tcPr>
            <w:tcW w:w="990" w:type="dxa"/>
            <w:tcBorders/>
          </w:tcPr>
          <w:p>
            <w:pPr>
              <w:pStyle w:val="TableText"/>
              <w:jc w:val="end"/>
              <w:rPr/>
            </w:pPr>
            <w:r>
              <w:rPr/>
              <w:t>31-Oct-02</w:t>
            </w:r>
          </w:p>
        </w:tc>
        <w:tc>
          <w:tcPr>
            <w:tcW w:w="720" w:type="dxa"/>
            <w:tcBorders/>
          </w:tcPr>
          <w:p>
            <w:pPr>
              <w:pStyle w:val="TableText"/>
              <w:jc w:val="end"/>
              <w:rPr/>
            </w:pPr>
            <w:r>
              <w:rPr/>
              <w:t>23575</w:t>
            </w:r>
          </w:p>
        </w:tc>
        <w:tc>
          <w:tcPr>
            <w:tcW w:w="1350" w:type="dxa"/>
            <w:tcBorders/>
          </w:tcPr>
          <w:p>
            <w:pPr>
              <w:pStyle w:val="TableText"/>
              <w:rPr/>
            </w:pPr>
            <w:r>
              <w:rPr/>
              <w:t>NINE_MILE_1</w:t>
            </w:r>
          </w:p>
        </w:tc>
        <w:tc>
          <w:tcPr>
            <w:tcW w:w="810" w:type="dxa"/>
            <w:tcBorders/>
          </w:tcPr>
          <w:p>
            <w:pPr>
              <w:pStyle w:val="TableText"/>
              <w:rPr/>
            </w:pPr>
            <w:r>
              <w:rPr/>
              <w:t>CENTRL</w:t>
            </w:r>
          </w:p>
        </w:tc>
        <w:tc>
          <w:tcPr>
            <w:tcW w:w="720" w:type="dxa"/>
            <w:tcBorders/>
          </w:tcPr>
          <w:p>
            <w:pPr>
              <w:pStyle w:val="TableText"/>
              <w:jc w:val="end"/>
              <w:rPr/>
            </w:pPr>
            <w:r>
              <w:rPr/>
              <w:t>61754</w:t>
            </w:r>
          </w:p>
        </w:tc>
        <w:tc>
          <w:tcPr>
            <w:tcW w:w="990" w:type="dxa"/>
            <w:tcBorders/>
          </w:tcPr>
          <w:p>
            <w:pPr>
              <w:pStyle w:val="TableText"/>
              <w:rPr/>
            </w:pPr>
            <w:r>
              <w:rPr/>
              <w:t>CENTRL</w:t>
            </w:r>
          </w:p>
        </w:tc>
        <w:tc>
          <w:tcPr>
            <w:tcW w:w="990" w:type="dxa"/>
            <w:tcBorders/>
          </w:tcPr>
          <w:p>
            <w:pPr>
              <w:pStyle w:val="TableText"/>
              <w:rPr/>
            </w:pPr>
            <w:r>
              <w:rPr/>
              <w:t>CENTRL</w:t>
            </w:r>
          </w:p>
        </w:tc>
        <w:tc>
          <w:tcPr>
            <w:tcW w:w="1080" w:type="dxa"/>
            <w:tcBorders/>
          </w:tcPr>
          <w:p>
            <w:pPr>
              <w:pStyle w:val="TableText"/>
              <w:jc w:val="end"/>
              <w:rPr/>
            </w:pPr>
            <w:r>
              <w:rPr/>
              <w:t>90</w:t>
            </w:r>
          </w:p>
        </w:tc>
        <w:tc>
          <w:tcPr>
            <w:tcW w:w="1080" w:type="dxa"/>
            <w:tcBorders/>
          </w:tcPr>
          <w:p>
            <w:pPr>
              <w:pStyle w:val="TableText"/>
              <w:jc w:val="end"/>
              <w:rPr/>
            </w:pPr>
            <w:r>
              <w:rPr/>
              <w:t>90</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2635</w:t>
            </w:r>
          </w:p>
        </w:tc>
        <w:tc>
          <w:tcPr>
            <w:tcW w:w="810" w:type="dxa"/>
            <w:tcBorders/>
          </w:tcPr>
          <w:p>
            <w:pPr>
              <w:pStyle w:val="TableText"/>
              <w:rPr/>
            </w:pPr>
            <w:r>
              <w:rPr/>
              <w:t>1-Nov-0</w:t>
            </w:r>
          </w:p>
        </w:tc>
        <w:tc>
          <w:tcPr>
            <w:tcW w:w="990" w:type="dxa"/>
            <w:tcBorders/>
          </w:tcPr>
          <w:p>
            <w:pPr>
              <w:pStyle w:val="TableText"/>
              <w:jc w:val="end"/>
              <w:rPr/>
            </w:pPr>
            <w:r>
              <w:rPr/>
              <w:t>31-Oct-02</w:t>
            </w:r>
          </w:p>
        </w:tc>
        <w:tc>
          <w:tcPr>
            <w:tcW w:w="720" w:type="dxa"/>
            <w:tcBorders/>
          </w:tcPr>
          <w:p>
            <w:pPr>
              <w:pStyle w:val="TableText"/>
              <w:jc w:val="end"/>
              <w:rPr/>
            </w:pPr>
            <w:r>
              <w:rPr/>
              <w:t>61754</w:t>
            </w:r>
          </w:p>
        </w:tc>
        <w:tc>
          <w:tcPr>
            <w:tcW w:w="1350" w:type="dxa"/>
            <w:tcBorders/>
          </w:tcPr>
          <w:p>
            <w:pPr>
              <w:pStyle w:val="TableText"/>
              <w:rPr/>
            </w:pPr>
            <w:r>
              <w:rPr/>
              <w:t>CENTRL</w:t>
            </w:r>
          </w:p>
        </w:tc>
        <w:tc>
          <w:tcPr>
            <w:tcW w:w="810" w:type="dxa"/>
            <w:tcBorders/>
          </w:tcPr>
          <w:p>
            <w:pPr>
              <w:pStyle w:val="TableText"/>
              <w:rPr/>
            </w:pPr>
            <w:r>
              <w:rPr/>
              <w:t>CENTRL</w:t>
            </w:r>
          </w:p>
        </w:tc>
        <w:tc>
          <w:tcPr>
            <w:tcW w:w="720" w:type="dxa"/>
            <w:tcBorders/>
          </w:tcPr>
          <w:p>
            <w:pPr>
              <w:pStyle w:val="TableText"/>
              <w:jc w:val="end"/>
              <w:rPr/>
            </w:pPr>
            <w:r>
              <w:rPr/>
              <w:t>61757</w:t>
            </w:r>
          </w:p>
        </w:tc>
        <w:tc>
          <w:tcPr>
            <w:tcW w:w="990" w:type="dxa"/>
            <w:tcBorders/>
          </w:tcPr>
          <w:p>
            <w:pPr>
              <w:pStyle w:val="TableText"/>
              <w:rPr/>
            </w:pPr>
            <w:r>
              <w:rPr/>
              <w:t>CAPITL</w:t>
            </w:r>
          </w:p>
        </w:tc>
        <w:tc>
          <w:tcPr>
            <w:tcW w:w="990" w:type="dxa"/>
            <w:tcBorders/>
          </w:tcPr>
          <w:p>
            <w:pPr>
              <w:pStyle w:val="TableText"/>
              <w:rPr/>
            </w:pPr>
            <w:r>
              <w:rPr/>
              <w:t>CAPITL</w:t>
            </w:r>
          </w:p>
        </w:tc>
        <w:tc>
          <w:tcPr>
            <w:tcW w:w="1080" w:type="dxa"/>
            <w:tcBorders/>
          </w:tcPr>
          <w:p>
            <w:pPr>
              <w:pStyle w:val="TableText"/>
              <w:jc w:val="end"/>
              <w:rPr/>
            </w:pPr>
            <w:r>
              <w:rPr/>
              <w:t>90</w:t>
            </w:r>
          </w:p>
        </w:tc>
        <w:tc>
          <w:tcPr>
            <w:tcW w:w="1080" w:type="dxa"/>
            <w:tcBorders/>
          </w:tcPr>
          <w:p>
            <w:pPr>
              <w:pStyle w:val="TableText"/>
              <w:jc w:val="end"/>
              <w:rPr/>
            </w:pPr>
            <w:r>
              <w:rPr/>
              <w:t>90</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2636</w:t>
            </w:r>
          </w:p>
        </w:tc>
        <w:tc>
          <w:tcPr>
            <w:tcW w:w="810" w:type="dxa"/>
            <w:tcBorders/>
          </w:tcPr>
          <w:p>
            <w:pPr>
              <w:pStyle w:val="TableText"/>
              <w:rPr/>
            </w:pPr>
            <w:r>
              <w:rPr/>
              <w:t>1-Nov-0</w:t>
            </w:r>
          </w:p>
        </w:tc>
        <w:tc>
          <w:tcPr>
            <w:tcW w:w="990" w:type="dxa"/>
            <w:tcBorders/>
          </w:tcPr>
          <w:p>
            <w:pPr>
              <w:pStyle w:val="TableText"/>
              <w:jc w:val="end"/>
              <w:rPr/>
            </w:pPr>
            <w:r>
              <w:rPr/>
              <w:t>31-Oct-02</w:t>
            </w:r>
          </w:p>
        </w:tc>
        <w:tc>
          <w:tcPr>
            <w:tcW w:w="720" w:type="dxa"/>
            <w:tcBorders/>
          </w:tcPr>
          <w:p>
            <w:pPr>
              <w:pStyle w:val="TableText"/>
              <w:jc w:val="end"/>
              <w:rPr/>
            </w:pPr>
            <w:r>
              <w:rPr/>
              <w:t>23575</w:t>
            </w:r>
          </w:p>
        </w:tc>
        <w:tc>
          <w:tcPr>
            <w:tcW w:w="1350" w:type="dxa"/>
            <w:tcBorders/>
          </w:tcPr>
          <w:p>
            <w:pPr>
              <w:pStyle w:val="TableText"/>
              <w:rPr/>
            </w:pPr>
            <w:r>
              <w:rPr/>
              <w:t>NINE_MILE_1</w:t>
            </w:r>
          </w:p>
        </w:tc>
        <w:tc>
          <w:tcPr>
            <w:tcW w:w="810" w:type="dxa"/>
            <w:tcBorders/>
          </w:tcPr>
          <w:p>
            <w:pPr>
              <w:pStyle w:val="TableText"/>
              <w:rPr/>
            </w:pPr>
            <w:r>
              <w:rPr/>
              <w:t>CENTRL</w:t>
            </w:r>
          </w:p>
        </w:tc>
        <w:tc>
          <w:tcPr>
            <w:tcW w:w="720" w:type="dxa"/>
            <w:tcBorders/>
          </w:tcPr>
          <w:p>
            <w:pPr>
              <w:pStyle w:val="TableText"/>
              <w:jc w:val="end"/>
              <w:rPr/>
            </w:pPr>
            <w:r>
              <w:rPr/>
              <w:t>61754</w:t>
            </w:r>
          </w:p>
        </w:tc>
        <w:tc>
          <w:tcPr>
            <w:tcW w:w="990" w:type="dxa"/>
            <w:tcBorders/>
          </w:tcPr>
          <w:p>
            <w:pPr>
              <w:pStyle w:val="TableText"/>
              <w:rPr/>
            </w:pPr>
            <w:r>
              <w:rPr/>
              <w:t>CENTRL</w:t>
            </w:r>
          </w:p>
        </w:tc>
        <w:tc>
          <w:tcPr>
            <w:tcW w:w="990" w:type="dxa"/>
            <w:tcBorders/>
          </w:tcPr>
          <w:p>
            <w:pPr>
              <w:pStyle w:val="TableText"/>
              <w:rPr/>
            </w:pPr>
            <w:r>
              <w:rPr/>
              <w:t>CENTRL</w:t>
            </w:r>
          </w:p>
        </w:tc>
        <w:tc>
          <w:tcPr>
            <w:tcW w:w="1080" w:type="dxa"/>
            <w:tcBorders/>
          </w:tcPr>
          <w:p>
            <w:pPr>
              <w:pStyle w:val="TableText"/>
              <w:jc w:val="end"/>
              <w:rPr/>
            </w:pPr>
            <w:r>
              <w:rPr/>
              <w:t>65</w:t>
            </w:r>
          </w:p>
        </w:tc>
        <w:tc>
          <w:tcPr>
            <w:tcW w:w="1080" w:type="dxa"/>
            <w:tcBorders/>
          </w:tcPr>
          <w:p>
            <w:pPr>
              <w:pStyle w:val="TableText"/>
              <w:jc w:val="end"/>
              <w:rPr/>
            </w:pPr>
            <w:r>
              <w:rPr/>
              <w:t>65</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r>
        <w:trPr/>
        <w:tc>
          <w:tcPr>
            <w:tcW w:w="1296" w:type="dxa"/>
            <w:tcBorders/>
          </w:tcPr>
          <w:p>
            <w:pPr>
              <w:pStyle w:val="TableText"/>
              <w:jc w:val="end"/>
              <w:rPr/>
            </w:pPr>
            <w:r>
              <w:rPr/>
              <w:t>2637</w:t>
            </w:r>
          </w:p>
        </w:tc>
        <w:tc>
          <w:tcPr>
            <w:tcW w:w="810" w:type="dxa"/>
            <w:tcBorders/>
          </w:tcPr>
          <w:p>
            <w:pPr>
              <w:pStyle w:val="TableText"/>
              <w:rPr/>
            </w:pPr>
            <w:r>
              <w:rPr/>
              <w:t>1-Nov-0</w:t>
            </w:r>
          </w:p>
        </w:tc>
        <w:tc>
          <w:tcPr>
            <w:tcW w:w="990" w:type="dxa"/>
            <w:tcBorders/>
          </w:tcPr>
          <w:p>
            <w:pPr>
              <w:pStyle w:val="TableText"/>
              <w:jc w:val="end"/>
              <w:rPr/>
            </w:pPr>
            <w:r>
              <w:rPr/>
              <w:t>31-Oct-02</w:t>
            </w:r>
          </w:p>
        </w:tc>
        <w:tc>
          <w:tcPr>
            <w:tcW w:w="720" w:type="dxa"/>
            <w:tcBorders/>
          </w:tcPr>
          <w:p>
            <w:pPr>
              <w:pStyle w:val="TableText"/>
              <w:jc w:val="end"/>
              <w:rPr/>
            </w:pPr>
            <w:r>
              <w:rPr/>
              <w:t>61754</w:t>
            </w:r>
          </w:p>
        </w:tc>
        <w:tc>
          <w:tcPr>
            <w:tcW w:w="1350" w:type="dxa"/>
            <w:tcBorders/>
          </w:tcPr>
          <w:p>
            <w:pPr>
              <w:pStyle w:val="TableText"/>
              <w:rPr/>
            </w:pPr>
            <w:r>
              <w:rPr/>
              <w:t>CENTRL</w:t>
            </w:r>
          </w:p>
        </w:tc>
        <w:tc>
          <w:tcPr>
            <w:tcW w:w="810" w:type="dxa"/>
            <w:tcBorders/>
          </w:tcPr>
          <w:p>
            <w:pPr>
              <w:pStyle w:val="TableText"/>
              <w:rPr/>
            </w:pPr>
            <w:r>
              <w:rPr/>
              <w:t>CENTRL</w:t>
            </w:r>
          </w:p>
        </w:tc>
        <w:tc>
          <w:tcPr>
            <w:tcW w:w="720" w:type="dxa"/>
            <w:tcBorders/>
          </w:tcPr>
          <w:p>
            <w:pPr>
              <w:pStyle w:val="TableText"/>
              <w:jc w:val="end"/>
              <w:rPr/>
            </w:pPr>
            <w:r>
              <w:rPr/>
              <w:t>61757</w:t>
            </w:r>
          </w:p>
        </w:tc>
        <w:tc>
          <w:tcPr>
            <w:tcW w:w="990" w:type="dxa"/>
            <w:tcBorders/>
          </w:tcPr>
          <w:p>
            <w:pPr>
              <w:pStyle w:val="TableText"/>
              <w:rPr/>
            </w:pPr>
            <w:r>
              <w:rPr/>
              <w:t>CAPITL</w:t>
            </w:r>
          </w:p>
        </w:tc>
        <w:tc>
          <w:tcPr>
            <w:tcW w:w="990" w:type="dxa"/>
            <w:tcBorders/>
          </w:tcPr>
          <w:p>
            <w:pPr>
              <w:pStyle w:val="TableText"/>
              <w:rPr/>
            </w:pPr>
            <w:r>
              <w:rPr/>
              <w:t>CAPITL</w:t>
            </w:r>
          </w:p>
        </w:tc>
        <w:tc>
          <w:tcPr>
            <w:tcW w:w="1080" w:type="dxa"/>
            <w:tcBorders/>
          </w:tcPr>
          <w:p>
            <w:pPr>
              <w:pStyle w:val="TableText"/>
              <w:jc w:val="end"/>
              <w:rPr/>
            </w:pPr>
            <w:r>
              <w:rPr/>
              <w:t>65</w:t>
            </w:r>
          </w:p>
        </w:tc>
        <w:tc>
          <w:tcPr>
            <w:tcW w:w="1080" w:type="dxa"/>
            <w:tcBorders/>
          </w:tcPr>
          <w:p>
            <w:pPr>
              <w:pStyle w:val="TableText"/>
              <w:jc w:val="end"/>
              <w:rPr/>
            </w:pPr>
            <w:r>
              <w:rPr/>
              <w:t>65</w:t>
            </w:r>
          </w:p>
        </w:tc>
        <w:tc>
          <w:tcPr>
            <w:tcW w:w="2115" w:type="dxa"/>
            <w:tcBorders/>
          </w:tcPr>
          <w:p>
            <w:pPr>
              <w:pStyle w:val="TableText"/>
              <w:rPr/>
            </w:pPr>
            <w:r>
              <w:rPr/>
              <w:t>Niagara Mohawk Power Corp.</w:t>
            </w:r>
          </w:p>
        </w:tc>
        <w:tc>
          <w:tcPr>
            <w:tcW w:w="1440" w:type="dxa"/>
            <w:tcBorders/>
          </w:tcPr>
          <w:p>
            <w:pPr>
              <w:pStyle w:val="TableText"/>
              <w:rPr/>
            </w:pPr>
            <w:r>
              <w:rPr/>
              <w:t>Auction Purchase</w:t>
            </w:r>
          </w:p>
        </w:tc>
      </w:tr>
    </w:tbl>
    <w:p>
      <w:pPr>
        <w:sectPr>
          <w:headerReference w:type="default" r:id="rId16"/>
          <w:headerReference w:type="first" r:id="rId17"/>
          <w:footerReference w:type="default" r:id="rId18"/>
          <w:footerReference w:type="first" r:id="rId19"/>
          <w:footnotePr>
            <w:numFmt w:val="decimal"/>
            <w:numRestart w:val="eachSect"/>
          </w:footnotePr>
          <w:type w:val="nextPage"/>
          <w:pgSz w:orient="landscape" w:w="15840" w:h="12240"/>
          <w:pgMar w:left="1440" w:right="1440" w:gutter="0" w:header="720" w:top="1440" w:footer="720" w:bottom="1440"/>
          <w:pgNumType w:start="1" w:fmt="decimal"/>
          <w:formProt w:val="false"/>
          <w:textDirection w:val="lrTb"/>
          <w:docGrid w:type="default" w:linePitch="360" w:charSpace="0"/>
        </w:sectPr>
        <w:pStyle w:val="TableText"/>
        <w:rPr/>
      </w:pPr>
      <w:r>
        <w:rPr/>
      </w:r>
    </w:p>
    <w:p>
      <w:pPr>
        <w:pStyle w:val="Closing"/>
        <w:rPr/>
      </w:pPr>
      <w:r>
        <w:rPr/>
        <w:t>SCHEDULE D</w:t>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r>
    </w:p>
    <w:p>
      <w:pPr>
        <w:pStyle w:val="Normal"/>
        <w:jc w:val="center"/>
        <w:rPr/>
      </w:pPr>
      <w:r>
        <w:rPr/>
        <w:t>REQUIRED REGULATORY APPROVALS</w:t>
      </w:r>
    </w:p>
    <w:p>
      <w:pPr>
        <w:pStyle w:val="Normal"/>
        <w:jc w:val="center"/>
        <w:rPr/>
      </w:pPr>
      <w:r>
        <w:rPr/>
      </w:r>
    </w:p>
    <w:p>
      <w:pPr>
        <w:pStyle w:val="BodyText"/>
        <w:rPr>
          <w:rFonts w:eastAsia="MS Mincho;ＭＳ 明朝"/>
          <w:u w:val="single"/>
        </w:rPr>
      </w:pPr>
      <w:r>
        <w:rPr>
          <w:rFonts w:eastAsia="MS Mincho;ＭＳ 明朝"/>
          <w:u w:val="single"/>
        </w:rPr>
        <w:t>Regulatory Approvals Required to be Obtained by the Company</w:t>
      </w:r>
    </w:p>
    <w:p>
      <w:pPr>
        <w:pStyle w:val="BodyText"/>
        <w:rPr>
          <w:rFonts w:eastAsia="MS Mincho;ＭＳ 明朝"/>
          <w:u w:val="single"/>
        </w:rPr>
      </w:pPr>
      <w:r>
        <w:rPr>
          <w:rFonts w:eastAsia="MS Mincho;ＭＳ 明朝"/>
          <w:u w:val="single"/>
        </w:rPr>
      </w:r>
    </w:p>
    <w:p>
      <w:pPr>
        <w:pStyle w:val="BodyText"/>
        <w:numPr>
          <w:ilvl w:val="0"/>
          <w:numId w:val="4"/>
        </w:numPr>
        <w:spacing w:before="0" w:after="240"/>
        <w:rPr>
          <w:rFonts w:eastAsia="MS Mincho;ＭＳ 明朝"/>
        </w:rPr>
      </w:pPr>
      <w:r>
        <w:rPr>
          <w:rFonts w:eastAsia="MS Mincho;ＭＳ 明朝"/>
        </w:rPr>
        <w:t>Approval by the PSC that the Agreement is in accordance with the Public Service Law and that the obligations incurred hereunder by the Company are prudent and in the public interest.</w:t>
      </w:r>
    </w:p>
    <w:p>
      <w:pPr>
        <w:pStyle w:val="BodyText"/>
        <w:numPr>
          <w:ilvl w:val="0"/>
          <w:numId w:val="4"/>
        </w:numPr>
        <w:spacing w:before="0" w:after="240"/>
        <w:rPr>
          <w:rFonts w:eastAsia="MS Mincho;ＭＳ 明朝"/>
        </w:rPr>
      </w:pPr>
      <w:r>
        <w:rPr>
          <w:rFonts w:eastAsia="MS Mincho;ＭＳ 明朝"/>
        </w:rPr>
        <w:t xml:space="preserve">Approval by the PSC of the Company's recovery in rates of any costs or other financial obligations that the Company will incur in connection with and as a result of this Agreement, including a determination that such costs or other financial obligations were prudently incurred.  </w:t>
      </w:r>
    </w:p>
    <w:p>
      <w:pPr>
        <w:pStyle w:val="BodyText"/>
        <w:numPr>
          <w:ilvl w:val="0"/>
          <w:numId w:val="4"/>
        </w:numPr>
        <w:rPr>
          <w:rFonts w:eastAsia="MS Mincho;ＭＳ 明朝"/>
        </w:rPr>
      </w:pPr>
      <w:r>
        <w:rPr>
          <w:rFonts w:eastAsia="MS Mincho;ＭＳ 明朝"/>
        </w:rPr>
        <w:t xml:space="preserve">Approval by the PSC of amendments to the Company’s Tariff, PSC 207.  </w:t>
      </w:r>
    </w:p>
    <w:p>
      <w:pPr>
        <w:pStyle w:val="BodyText"/>
        <w:rPr>
          <w:rFonts w:eastAsia="MS Mincho;ＭＳ 明朝"/>
        </w:rPr>
      </w:pPr>
      <w:r>
        <w:rPr>
          <w:rFonts w:eastAsia="MS Mincho;ＭＳ 明朝"/>
        </w:rPr>
      </w:r>
    </w:p>
    <w:p>
      <w:pPr>
        <w:pStyle w:val="BodyText"/>
        <w:numPr>
          <w:ilvl w:val="0"/>
          <w:numId w:val="4"/>
        </w:numPr>
        <w:rPr>
          <w:rFonts w:eastAsia="MS Mincho;ＭＳ 明朝"/>
        </w:rPr>
      </w:pPr>
      <w:r>
        <w:rPr>
          <w:rFonts w:eastAsia="MS Mincho;ＭＳ 明朝"/>
        </w:rPr>
        <w:t>Such other approvals by the PSC as may be required by the Company.</w:t>
      </w:r>
    </w:p>
    <w:p>
      <w:pPr>
        <w:pStyle w:val="BodyText"/>
        <w:rPr>
          <w:rFonts w:eastAsia="MS Mincho;ＭＳ 明朝"/>
        </w:rPr>
      </w:pPr>
      <w:r>
        <w:rPr>
          <w:rFonts w:eastAsia="MS Mincho;ＭＳ 明朝"/>
        </w:rPr>
      </w:r>
    </w:p>
    <w:p>
      <w:pPr>
        <w:pStyle w:val="BodyText"/>
        <w:rPr>
          <w:rFonts w:eastAsia="MS Mincho;ＭＳ 明朝"/>
        </w:rPr>
      </w:pPr>
      <w:r>
        <w:rPr>
          <w:rFonts w:eastAsia="MS Mincho;ＭＳ 明朝"/>
        </w:rPr>
      </w:r>
    </w:p>
    <w:p>
      <w:pPr>
        <w:pStyle w:val="BodyText"/>
        <w:rPr>
          <w:rFonts w:eastAsia="MS Mincho;ＭＳ 明朝"/>
          <w:u w:val="single"/>
        </w:rPr>
      </w:pPr>
      <w:r>
        <w:rPr>
          <w:rFonts w:eastAsia="MS Mincho;ＭＳ 明朝"/>
          <w:u w:val="single"/>
        </w:rPr>
        <w:t>Regulatory Approvals Required to be Obtained by Supplier</w:t>
      </w:r>
    </w:p>
    <w:p>
      <w:pPr>
        <w:pStyle w:val="BodyText"/>
        <w:rPr>
          <w:rFonts w:eastAsia="MS Mincho;ＭＳ 明朝"/>
          <w:u w:val="single"/>
        </w:rPr>
      </w:pPr>
      <w:r>
        <w:rPr>
          <w:rFonts w:eastAsia="MS Mincho;ＭＳ 明朝"/>
          <w:u w:val="single"/>
        </w:rPr>
      </w:r>
    </w:p>
    <w:p>
      <w:pPr>
        <w:pStyle w:val="BodyText"/>
        <w:tabs>
          <w:tab w:val="left" w:pos="720" w:leader="none"/>
        </w:tabs>
        <w:ind w:hanging="720" w:start="720" w:end="0"/>
        <w:rPr>
          <w:rFonts w:eastAsia="MS Mincho;ＭＳ 明朝"/>
        </w:rPr>
      </w:pPr>
      <w:r>
        <w:rPr>
          <w:rFonts w:eastAsia="MS Mincho;ＭＳ 明朝"/>
        </w:rPr>
        <w:t>1.</w:t>
        <w:tab/>
        <w:t xml:space="preserve">FERC approval pursuant to Section 205 of the Federal Power Act.  </w:t>
      </w:r>
    </w:p>
    <w:p>
      <w:pPr>
        <w:sectPr>
          <w:headerReference w:type="default" r:id="rId20"/>
          <w:headerReference w:type="first" r:id="rId21"/>
          <w:footerReference w:type="default" r:id="rId22"/>
          <w:footerReference w:type="first" r:id="rId23"/>
          <w:footnotePr>
            <w:numFmt w:val="decimal"/>
            <w:numRestart w:val="eachSect"/>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eastAsia="MS Mincho;ＭＳ 明朝"/>
        </w:rPr>
      </w:pPr>
      <w:r>
        <w:rPr>
          <w:rFonts w:eastAsia="MS Mincho;ＭＳ 明朝"/>
        </w:rPr>
      </w:r>
    </w:p>
    <w:p>
      <w:pPr>
        <w:pStyle w:val="Closing"/>
        <w:rPr/>
      </w:pPr>
      <w:r>
        <w:rPr/>
        <w:t>SCHEDULE E</w:t>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r>
    </w:p>
    <w:p>
      <w:pPr>
        <w:pStyle w:val="TitleI"/>
        <w:rPr/>
      </w:pPr>
      <w:r>
        <w:rPr/>
        <w:t>EHV RATE LOAD</w:t>
      </w:r>
    </w:p>
    <w:p>
      <w:pPr>
        <w:pStyle w:val="TitleI"/>
        <w:rPr/>
      </w:pPr>
      <w:r>
        <w:rPr/>
      </w:r>
    </w:p>
    <w:p>
      <w:pPr>
        <w:pStyle w:val="TitleI"/>
        <w:spacing w:before="0" w:after="240"/>
        <w:rPr/>
      </w:pPr>
      <w:r>
        <w:rPr/>
        <w:t>[To be inserted]</w:t>
      </w:r>
    </w:p>
    <w:sectPr>
      <w:headerReference w:type="default" r:id="rId24"/>
      <w:headerReference w:type="first" r:id="rId25"/>
      <w:footerReference w:type="default" r:id="rId26"/>
      <w:footerReference w:type="first" r:id="rId27"/>
      <w:footnotePr>
        <w:numFmt w:val="decimal"/>
        <w:numRestart w:val="eachSect"/>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CDocID"/>
      <w:rPr/>
    </w:pPr>
    <w:r>
      <w:rPr/>
      <w:t>DC_LAN01:130768.18</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SCDocID"/>
      <w:rPr/>
    </w:pPr>
    <w:r>
      <w:rPr/>
      <w:t>DC_LAN01:130768.18</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SCDocID"/>
      <w:rPr/>
    </w:pPr>
    <w:r>
      <w:rPr/>
      <w:t>DC_LAN01:130768.18</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CDocID"/>
      <w:rPr/>
    </w:pPr>
    <w:r>
      <w:rPr/>
      <w:t>DC_LAN01:130768.18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rFonts w:ascii="Times New Roman" w:hAnsi="Times New Roman" w:cs="Times New Roman"/>
        <w:sz w:val="16"/>
      </w:rPr>
    </w:pPr>
    <w:r>
      <w:rPr>
        <w:rFonts w:cs="Times New Roman" w:ascii="Times New Roman" w:hAnsi="Times New Roman"/>
        <w:sz w:val="16"/>
      </w:rPr>
      <w:t>DC_LAN01:130768.18</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w:rPr>
        <w:rStyle w:val="PageNumber"/>
      </w:rPr>
      <w:t>-</w:t>
    </w:r>
  </w:p>
  <w:p>
    <w:pPr>
      <w:pStyle w:val="SCDocID"/>
      <w:rPr/>
    </w:pPr>
    <w:r>
      <w:rPr/>
      <w:t>DC_LAN01:130768.18</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p>
    <w:pPr>
      <w:pStyle w:val="SCDocID"/>
      <w:rPr/>
    </w:pPr>
    <w:r>
      <w:rPr/>
      <w:t>DC_LAN01:130768.18</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SCDocID"/>
      <w:rPr/>
    </w:pPr>
    <w:r>
      <w:rPr/>
      <w:t>DC_LAN01:130768.18</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SCDocID"/>
      <w:rPr/>
    </w:pPr>
    <w:r>
      <w:rPr/>
      <w:t>DC_LAN01:130768.18</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[TCCs to be purchased in Spring auction to be added.]</w:t>
      </w:r>
    </w:p>
  </w:footnote>
  <w:footnote w:id="3">
    <w:p>
      <w:pPr>
        <w:pStyle w:val="FootnoteText"/>
        <w:spacing w:before="0" w:after="240"/>
        <w:ind w:hanging="720" w:start="720" w:end="0"/>
        <w:rPr/>
      </w:pPr>
      <w:r>
        <w:rPr>
          <w:rStyle w:val="FootnoteCharacters"/>
        </w:rPr>
        <w:footnoteRef/>
      </w:r>
      <w:r>
        <w:rPr/>
        <w:t xml:space="preserve"> </w:t>
      </w:r>
      <w:r>
        <w:rPr/>
        <w:t>[TCCs to be purchased in Spring auction to be added.]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t>S&amp;C Draft of April 12,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u w:val="none"/>
      </w:rPr>
    </w:lvl>
    <w:lvl w:ilvl="1">
      <w:start w:val="1"/>
      <w:pStyle w:val="Heading2"/>
      <w:isLgl/>
      <w:numFmt w:val="decimalZero"/>
      <w:lvlText w:val="Section %1.%2"/>
      <w:lvlJc w:val="start"/>
      <w:pPr>
        <w:tabs>
          <w:tab w:val="num" w:pos="1800"/>
        </w:tabs>
        <w:ind w:start="0" w:hanging="0"/>
      </w:pPr>
      <w:rPr>
        <w:u w:val="none"/>
        <w:color w:val="000000"/>
      </w:rPr>
    </w:lvl>
    <w:lvl w:ilvl="2">
      <w:start w:val="1"/>
      <w:pStyle w:val="Heading3"/>
      <w:numFmt w:val="lowerLetter"/>
      <w:lvlText w:val="(%3)"/>
      <w:lvlJc w:val="start"/>
      <w:pPr>
        <w:tabs>
          <w:tab w:val="num" w:pos="720"/>
        </w:tabs>
        <w:ind w:start="0" w:firstLine="720"/>
      </w:pPr>
      <w:rPr>
        <w:i w:val="false"/>
        <w:u w:val="none"/>
        <w:b w:val="false"/>
      </w:rPr>
    </w:lvl>
    <w:lvl w:ilvl="3">
      <w:start w:val="1"/>
      <w:pStyle w:val="Heading4"/>
      <w:numFmt w:val="lowerRoman"/>
      <w:lvlText w:val="(%4)"/>
      <w:lvlJc w:val="start"/>
      <w:pPr>
        <w:tabs>
          <w:tab w:val="num" w:pos="252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Courier New" w:hAnsi="Courier New" w:cs="Courier New"/>
      </w:rPr>
    </w:lvl>
    <w:lvl w:ilvl="4">
      <w:start w:val="1"/>
      <w:pStyle w:val="Heading5"/>
      <w:numFmt w:val="decimal"/>
      <w:lvlText w:val="%5)"/>
      <w:lvlJc w:val="start"/>
      <w:pPr>
        <w:tabs>
          <w:tab w:val="num" w:pos="2520"/>
        </w:tabs>
        <w:ind w:start="1440" w:firstLine="720"/>
      </w:pPr>
      <w:rPr>
        <w:u w:val="none"/>
      </w:rPr>
    </w:lvl>
    <w:lvl w:ilvl="5">
      <w:start w:val="1"/>
      <w:pStyle w:val="Heading6"/>
      <w:numFmt w:val="lowerLetter"/>
      <w:lvlText w:val="%6)"/>
      <w:lvlJc w:val="start"/>
      <w:pPr>
        <w:tabs>
          <w:tab w:val="num" w:pos="1152"/>
        </w:tabs>
        <w:ind w:start="1152" w:hanging="432"/>
      </w:pPr>
      <w:rPr>
        <w:u w:val="none"/>
      </w:r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suff w:val="nothing"/>
      <w:lvlText w:val="Article %1."/>
      <w:lvlJc w:val="start"/>
      <w:pPr>
        <w:tabs>
          <w:tab w:val="num" w:pos="0"/>
        </w:tabs>
        <w:ind w:start="0" w:hanging="0"/>
      </w:pPr>
      <w:rPr>
        <w:u w:val="none"/>
      </w:rPr>
    </w:lvl>
    <w:lvl w:ilvl="1">
      <w:start w:val="1"/>
      <w:isLgl/>
      <w:numFmt w:val="decimalZero"/>
      <w:lvlText w:val="Section %1.%2"/>
      <w:lvlJc w:val="start"/>
      <w:pPr>
        <w:tabs>
          <w:tab w:val="num" w:pos="1800"/>
        </w:tabs>
        <w:ind w:start="0" w:hanging="0"/>
      </w:pPr>
      <w:rPr>
        <w:u w:val="none"/>
        <w:color w:val="000000"/>
      </w:rPr>
    </w:lvl>
    <w:lvl w:ilvl="2">
      <w:start w:val="1"/>
      <w:numFmt w:val="lowerLetter"/>
      <w:lvlText w:val="(%3)"/>
      <w:lvlJc w:val="start"/>
      <w:pPr>
        <w:tabs>
          <w:tab w:val="num" w:pos="1440"/>
        </w:tabs>
        <w:ind w:start="0" w:firstLine="720"/>
      </w:pPr>
      <w:rPr>
        <w:i w:val="false"/>
        <w:u w:val="none"/>
        <w:b w:val="false"/>
      </w:rPr>
    </w:lvl>
    <w:lvl w:ilvl="3">
      <w:start w:val="1"/>
      <w:numFmt w:val="lowerRoman"/>
      <w:lvlText w:val="(%4)"/>
      <w:lvlJc w:val="start"/>
      <w:pPr>
        <w:tabs>
          <w:tab w:val="num" w:pos="252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Courier New" w:hAnsi="Courier New" w:cs="Courier New"/>
      </w:rPr>
    </w:lvl>
    <w:lvl w:ilvl="4">
      <w:start w:val="1"/>
      <w:numFmt w:val="decimal"/>
      <w:lvlText w:val="%5)"/>
      <w:lvlJc w:val="start"/>
      <w:pPr>
        <w:tabs>
          <w:tab w:val="num" w:pos="2520"/>
        </w:tabs>
        <w:ind w:start="1440" w:firstLine="720"/>
      </w:pPr>
      <w:rPr>
        <w:u w:val="none"/>
      </w:rPr>
    </w:lvl>
    <w:lvl w:ilvl="5">
      <w:start w:val="1"/>
      <w:numFmt w:val="lowerLetter"/>
      <w:lvlText w:val="%6)"/>
      <w:lvlJc w:val="start"/>
      <w:pPr>
        <w:tabs>
          <w:tab w:val="num" w:pos="1152"/>
        </w:tabs>
        <w:ind w:start="1152" w:hanging="432"/>
      </w:pPr>
      <w:rPr>
        <w:u w:val="none"/>
      </w:r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4">
    <w:lvl w:ilvl="0">
      <w:start w:val="1"/>
      <w:numFmt w:val="decimal"/>
      <w:lvlText w:val="%1."/>
      <w:lvlJc w:val="start"/>
      <w:pPr>
        <w:tabs>
          <w:tab w:val="num" w:pos="720"/>
        </w:tabs>
        <w:ind w:start="720" w:hanging="720"/>
      </w:pPr>
      <w:rPr>
        <w:sz w:val="24"/>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numRestart w:val="eachSect"/>
    <w:footnote w:id="0"/>
    <w:footnote w:id="1"/>
  </w:footnotePr>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kern w:val="2"/>
      <w:u w:val="single"/>
    </w:rPr>
  </w:style>
  <w:style w:type="paragraph" w:styleId="Heading2">
    <w:name w:val="heading 2"/>
    <w:basedOn w:val="Normal"/>
    <w:next w:val="Normal"/>
    <w:qFormat/>
    <w:pPr>
      <w:keepNext w:val="true"/>
      <w:keepLines/>
      <w:numPr>
        <w:ilvl w:val="1"/>
        <w:numId w:val="1"/>
      </w:numPr>
      <w:outlineLvl w:val="1"/>
    </w:pPr>
    <w:rPr>
      <w:rFonts w:eastAsia="MS Mincho;ＭＳ 明朝"/>
      <w:color w:val="000000"/>
      <w:u w:val="single"/>
    </w:rPr>
  </w:style>
  <w:style w:type="paragraph" w:styleId="Heading3">
    <w:name w:val="heading 3"/>
    <w:basedOn w:val="Normal"/>
    <w:next w:val="Normal"/>
    <w:qFormat/>
    <w:pPr>
      <w:numPr>
        <w:ilvl w:val="2"/>
        <w:numId w:val="1"/>
      </w:numPr>
      <w:outlineLvl w:val="2"/>
    </w:pPr>
    <w:rPr>
      <w:rFonts w:eastAsia="MS Mincho;ＭＳ 明朝"/>
    </w:rPr>
  </w:style>
  <w:style w:type="paragraph" w:styleId="Heading4">
    <w:name w:val="heading 4"/>
    <w:basedOn w:val="Normal"/>
    <w:next w:val="Normal"/>
    <w:qFormat/>
    <w:pPr>
      <w:keepNext w:val="true"/>
      <w:numPr>
        <w:ilvl w:val="3"/>
        <w:numId w:val="1"/>
      </w:numPr>
      <w:outlineLvl w:val="3"/>
    </w:pPr>
    <w:rPr>
      <w:rFonts w:eastAsia="MS Mincho;ＭＳ 明朝"/>
    </w:rPr>
  </w:style>
  <w:style w:type="paragraph" w:styleId="Heading5">
    <w:name w:val="heading 5"/>
    <w:basedOn w:val="Normal"/>
    <w:next w:val="Normal"/>
    <w:qFormat/>
    <w:pPr>
      <w:numPr>
        <w:ilvl w:val="4"/>
        <w:numId w:val="1"/>
      </w:numPr>
      <w:outlineLvl w:val="4"/>
    </w:pPr>
    <w:rPr>
      <w:rFonts w:eastAsia="MS Mincho;ＭＳ 明朝"/>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u w:val="none"/>
    </w:rPr>
  </w:style>
  <w:style w:type="character" w:styleId="WW8Num12z1">
    <w:name w:val="WW8Num12z1"/>
    <w:qFormat/>
    <w:rPr>
      <w:color w:val="000000"/>
      <w:u w:val="none"/>
    </w:rPr>
  </w:style>
  <w:style w:type="character" w:styleId="WW8Num12z2">
    <w:name w:val="WW8Num12z2"/>
    <w:qFormat/>
    <w:rPr>
      <w:b w:val="false"/>
      <w:i w:val="false"/>
      <w:u w:val="none"/>
    </w:rPr>
  </w:style>
  <w:style w:type="character" w:styleId="WW8Num12z3">
    <w:name w:val="WW8Num12z3"/>
    <w:qFormat/>
    <w:rPr>
      <w:rFonts w:ascii="Courier New" w:hAnsi="Courier New" w:cs="Courier New"/>
      <w:b w:val="false"/>
      <w:i w:val="false"/>
      <w:caps w:val="false"/>
      <w:smallCaps w:val="false"/>
      <w:strike w:val="false"/>
      <w:dstrike w:val="false"/>
      <w:outline w:val="false"/>
      <w:shadow w:val="false"/>
      <w:vanish w:val="false"/>
      <w:position w:val="0"/>
      <w:sz w:val="24"/>
      <w:sz w:val="24"/>
      <w:u w:val="none"/>
      <w:vertAlign w:val="baseline"/>
    </w:rPr>
  </w:style>
  <w:style w:type="character" w:styleId="WW8Num13z0">
    <w:name w:val="WW8Num13z0"/>
    <w:qFormat/>
    <w:rPr/>
  </w:style>
  <w:style w:type="character" w:styleId="WW8Num14z0">
    <w:name w:val="WW8Num14z0"/>
    <w:qFormat/>
    <w:rPr>
      <w:rFonts w:ascii="Courier New" w:hAnsi="Courier New" w:cs="Courier New"/>
      <w:b w:val="false"/>
      <w:i w:val="false"/>
      <w:sz w:val="24"/>
    </w:rPr>
  </w:style>
  <w:style w:type="character" w:styleId="WW8Num15z0">
    <w:name w:val="WW8Num15z0"/>
    <w:qFormat/>
    <w:rPr>
      <w:rFonts w:ascii="Courier New" w:hAnsi="Courier New" w:cs="Courier New"/>
      <w:b w:val="false"/>
      <w:i w:val="false"/>
      <w:sz w:val="24"/>
      <w:u w:val="none"/>
    </w:rPr>
  </w:style>
  <w:style w:type="character" w:styleId="WW8Num15z2">
    <w:name w:val="WW8Num15z2"/>
    <w:qFormat/>
    <w:rPr>
      <w:rFonts w:ascii="Courier New" w:hAnsi="Courier New" w:cs="Courier New"/>
      <w:b w:val="false"/>
      <w:i w:val="false"/>
      <w:sz w:val="24"/>
    </w:rPr>
  </w:style>
  <w:style w:type="character" w:styleId="WW8Num15z3">
    <w:name w:val="WW8Num15z3"/>
    <w:qFormat/>
    <w:rPr>
      <w:b/>
      <w:i w:val="false"/>
    </w:rPr>
  </w:style>
  <w:style w:type="character" w:styleId="WW8Num15z4">
    <w:name w:val="WW8Num15z4"/>
    <w:qFormat/>
    <w:rPr/>
  </w:style>
  <w:style w:type="character" w:styleId="WW8Num16z0">
    <w:name w:val="WW8Num16z0"/>
    <w:qFormat/>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z w:val="24"/>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outlineLvl w:val="0"/>
    </w:pPr>
    <w:rPr>
      <w:kern w:val="2"/>
      <w:sz w:val="28"/>
    </w:rPr>
  </w:style>
  <w:style w:type="paragraph" w:styleId="BodyText">
    <w:name w:val="Body Text"/>
    <w:basedOn w:val="Normal"/>
    <w:pPr>
      <w:spacing w:before="0" w:after="60"/>
    </w:pPr>
    <w:rPr>
      <w:rFonts w:ascii="Courier New" w:hAnsi="Courier New" w:cs="Courier Ne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240"/>
      <w:ind w:hanging="547" w:start="540" w:end="0"/>
    </w:pPr>
    <w:rPr/>
  </w:style>
  <w:style w:type="paragraph" w:styleId="Signature">
    <w:name w:val="!Signature"/>
    <w:basedOn w:val="Normal"/>
    <w:qFormat/>
    <w:pPr>
      <w:keepLines/>
      <w:tabs>
        <w:tab w:val="clear" w:pos="720"/>
        <w:tab w:val="right" w:pos="8640" w:leader="none"/>
      </w:tabs>
      <w:spacing w:before="720" w:after="240"/>
      <w:ind w:hanging="547" w:start="4867" w:end="0"/>
    </w:pPr>
    <w:rPr/>
  </w:style>
  <w:style w:type="paragraph" w:styleId="Title">
    <w:name w:val="!Title"/>
    <w:basedOn w:val="Normal"/>
    <w:qFormat/>
    <w:pPr>
      <w:keepNext w:val="true"/>
      <w:keepLines/>
      <w:spacing w:before="120" w:after="240"/>
      <w:jc w:val="center"/>
    </w:pPr>
    <w:rPr>
      <w:caps/>
    </w:rPr>
  </w:style>
  <w:style w:type="paragraph" w:styleId="TitleB">
    <w:name w:val="!Title(B)"/>
    <w:basedOn w:val="Title"/>
    <w:qFormat/>
    <w:pPr>
      <w:spacing w:before="0" w:after="240"/>
    </w:pPr>
    <w:rPr>
      <w:rFonts w:ascii="Courier New" w:hAnsi="Courier New" w:cs="Courier New"/>
      <w:caps w:val="false"/>
      <w:smallCaps w:val="false"/>
    </w:rPr>
  </w:style>
  <w:style w:type="paragraph" w:styleId="BodyTextFirstIndent">
    <w:name w:val="Body Text First Indent"/>
    <w:basedOn w:val="BodyText"/>
    <w:qFormat/>
    <w:pPr>
      <w:spacing w:before="0" w:after="240"/>
      <w:ind w:firstLine="144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rPr>
  </w:style>
  <w:style w:type="paragraph" w:styleId="Style5">
    <w:name w:val="."/>
    <w:basedOn w:val="PlainText"/>
    <w:qFormat/>
    <w:pPr/>
    <w:rPr>
      <w:rFonts w:eastAsia="MS Mincho;ＭＳ 明朝"/>
      <w:sz w:val="24"/>
    </w:rPr>
  </w:style>
  <w:style w:type="paragraph" w:styleId="ListBullet">
    <w:name w:val="List Bullet"/>
    <w:basedOn w:val="Normal"/>
    <w:qFormat/>
    <w:pPr>
      <w:numPr>
        <w:ilvl w:val="0"/>
        <w:numId w:val="2"/>
      </w:numPr>
    </w:pPr>
    <w:rPr/>
  </w:style>
  <w:style w:type="paragraph" w:styleId="DocumentMap">
    <w:name w:val="Document Map"/>
    <w:basedOn w:val="Normal"/>
    <w:qFormat/>
    <w:pPr>
      <w:shd w:fill="000080" w:val="clear"/>
    </w:pPr>
    <w:rPr>
      <w:rFonts w:ascii="Tahoma" w:hAnsi="Tahoma" w:cs="Tahoma"/>
    </w:rPr>
  </w:style>
  <w:style w:type="paragraph" w:styleId="SCDocID">
    <w:name w:val="S&amp;C DocID"/>
    <w:basedOn w:val="Normal"/>
    <w:next w:val="Normal"/>
    <w:qFormat/>
    <w:pPr>
      <w:spacing w:before="0" w:after="0"/>
    </w:pPr>
    <w:rPr>
      <w:rFonts w:ascii="Times New Roman" w:hAnsi="Times New Roman" w:cs="Times New Roman"/>
      <w:sz w:val="16"/>
    </w:rPr>
  </w:style>
  <w:style w:type="paragraph" w:styleId="Style11">
    <w:name w:val="Style1"/>
    <w:basedOn w:val="Heading3"/>
    <w:qFormat/>
    <w:pPr>
      <w:keepNext w:val="false"/>
      <w:numPr>
        <w:ilvl w:val="0"/>
        <w:numId w:val="3"/>
      </w:numPr>
      <w:outlineLvl w:val="9"/>
    </w:pPr>
    <w:rPr/>
  </w:style>
  <w:style w:type="paragraph" w:styleId="TitleI">
    <w:name w:val="Title I"/>
    <w:basedOn w:val="PlainText"/>
    <w:qFormat/>
    <w:pPr>
      <w:jc w:val="center"/>
    </w:pPr>
    <w:rPr>
      <w:rFonts w:eastAsia="MS Mincho;ＭＳ 明朝"/>
      <w:sz w:val="24"/>
    </w:rPr>
  </w:style>
  <w:style w:type="paragraph" w:styleId="TOC1">
    <w:name w:val="toc 1"/>
    <w:basedOn w:val="Normal"/>
    <w:next w:val="Normal"/>
    <w:pPr>
      <w:tabs>
        <w:tab w:val="clear" w:pos="720"/>
        <w:tab w:val="left" w:pos="2160" w:leader="none"/>
        <w:tab w:val="right" w:pos="9360" w:leader="dot"/>
      </w:tabs>
      <w:ind w:hanging="1620" w:start="1620" w:end="0"/>
    </w:pPr>
    <w:rPr>
      <w:rFonts w:eastAsia="MS Mincho;ＭＳ 明朝"/>
      <w:lang w:val="en-CA"/>
    </w:rPr>
  </w:style>
  <w:style w:type="paragraph" w:styleId="TOC2">
    <w:name w:val="toc 2"/>
    <w:basedOn w:val="Normal"/>
    <w:next w:val="Normal"/>
    <w:pPr>
      <w:tabs>
        <w:tab w:val="clear" w:pos="720"/>
        <w:tab w:val="left" w:pos="1440" w:leader="none"/>
        <w:tab w:val="left" w:pos="1680" w:leader="none"/>
        <w:tab w:val="left" w:pos="2160" w:leader="none"/>
        <w:tab w:val="right" w:pos="9360" w:leader="dot"/>
      </w:tabs>
      <w:ind w:hanging="1973" w:start="2160" w:end="0"/>
    </w:pPr>
    <w:rPr>
      <w:rFonts w:eastAsia="MS Mincho;ＭＳ 明朝"/>
      <w:sz w:val="22"/>
      <w:lang w:val="en-CA"/>
    </w:rPr>
  </w:style>
  <w:style w:type="paragraph" w:styleId="BodyTextIndent">
    <w:name w:val="Body Text Indent"/>
    <w:basedOn w:val="Normal"/>
    <w:pPr>
      <w:spacing w:before="0" w:after="0"/>
      <w:ind w:hanging="0" w:start="1440" w:end="0"/>
    </w:pPr>
    <w:rPr/>
  </w:style>
  <w:style w:type="paragraph" w:styleId="Closing">
    <w:name w:val="Closing"/>
    <w:basedOn w:val="PlainText"/>
    <w:next w:val="BodyText"/>
    <w:pPr>
      <w:spacing w:before="0" w:after="0"/>
      <w:jc w:val="end"/>
    </w:pPr>
    <w:rPr>
      <w:rFonts w:eastAsia="MS Mincho;ＭＳ 明朝"/>
      <w:sz w:val="24"/>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Text">
    <w:name w:val="Table Text"/>
    <w:basedOn w:val="Normal"/>
    <w:qFormat/>
    <w:pPr>
      <w:spacing w:before="0" w:after="0"/>
    </w:pPr>
    <w:rPr>
      <w:rFonts w:ascii="Times New Roman" w:hAnsi="Times New Roman" w:cs="Times New Roman"/>
      <w:sz w:val="16"/>
    </w:rPr>
  </w:style>
  <w:style w:type="paragraph" w:styleId="toc">
    <w:name w:val="toc"/>
    <w:basedOn w:val="TOC2"/>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2001-04-13T00:34:00Z</dcterms:created>
  <dc:creator>Information Services</dc:creator>
  <dc:description/>
  <dc:language>en-CA</dc:language>
  <cp:lastModifiedBy>Information Services</cp:lastModifiedBy>
  <cp:lastPrinted>2001-04-12T22:43:00Z</cp:lastPrinted>
  <dcterms:modified xsi:type="dcterms:W3CDTF">2001-04-13T00:34:00Z</dcterms:modified>
  <cp:revision>2</cp:revision>
  <dc:subject/>
  <dc:title>POWER PURCHASE AND SALE AGREEMENT</dc:title>
</cp:coreProperties>
</file>