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fldChar w:fldCharType="begin"/>
      </w:r>
      <w:r>
        <w:rPr/>
        <w:instrText xml:space="preserve">ADVANCE \y108</w:instrText>
      </w:r>
      <w:r>
        <w:rPr/>
      </w:r>
      <w:r>
        <w:rPr/>
        <w:fldChar w:fldCharType="separate"/>
      </w:r>
      <w:r>
        <w:rPr/>
      </w:r>
      <w:r/>
      <w:r>
        <w:rPr/>
        <w:fldChar w:fldCharType="end"/>
      </w:r>
      <w:r>
        <w:rPr/>
      </w:r>
    </w:p>
    <w:p>
      <w:pPr>
        <w:pStyle w:val="Normal"/>
        <w:widowControl/>
        <w:jc w:val="both"/>
        <w:rPr/>
      </w:pPr>
      <w:r>
        <w:fldChar w:fldCharType="begin"/>
      </w:r>
      <w:r>
        <w:rPr/>
        <w:instrText xml:space="preserve">ADVANCE \y108</w:instrText>
      </w:r>
      <w:r>
        <w:rPr/>
      </w:r>
      <w:r>
        <w:rPr/>
        <w:fldChar w:fldCharType="separate"/>
      </w:r>
      <w:r>
        <w:rPr/>
      </w:r>
      <w:r/>
      <w:r>
        <w:rPr/>
        <w:fldChar w:fldCharType="end"/>
      </w: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6480" w:end="0"/>
        <w:jc w:val="both"/>
        <w:rPr/>
      </w:pPr>
      <w:r>
        <w:rPr/>
      </w:r>
    </w:p>
    <w:p>
      <w:pPr>
        <w:pStyle w:val="Normal"/>
        <w:widowControl/>
        <w:ind w:start="6480" w:end="0"/>
        <w:jc w:val="center"/>
        <w:rPr/>
      </w:pPr>
      <w:r>
        <w:rPr/>
        <w:t>M E M O R A N D U M</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Joseph Hartsoe</w:t>
      </w:r>
    </w:p>
    <w:p>
      <w:pPr>
        <w:pStyle w:val="Normal"/>
        <w:widowControl/>
        <w:ind w:start="1440" w:end="0"/>
        <w:jc w:val="both"/>
        <w:rPr/>
      </w:pPr>
      <w:r>
        <w:rPr/>
        <w:t>Sarah Novosel</w:t>
      </w:r>
    </w:p>
    <w:p>
      <w:pPr>
        <w:pStyle w:val="Normal"/>
        <w:widowControl/>
        <w:ind w:start="1440" w:end="0"/>
        <w:jc w:val="both"/>
        <w:rPr/>
      </w:pPr>
      <w:r>
        <w:rPr/>
        <w:t>Christi Nicolay</w:t>
      </w:r>
    </w:p>
    <w:p>
      <w:pPr>
        <w:pStyle w:val="Normal"/>
        <w:widowControl/>
        <w:ind w:start="1440" w:end="0"/>
        <w:jc w:val="both"/>
        <w:rPr/>
      </w:pPr>
      <w:r>
        <w:rPr/>
        <w:t>Enron Corp.</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hanging="5040" w:start="5040" w:end="0"/>
        <w:jc w:val="both"/>
        <w:rPr/>
      </w:pPr>
      <w:r>
        <w:rPr/>
        <w:t>FROM:</w:t>
        <w:tab/>
        <w:t>Jeffrey D. Watkiss</w:t>
        <w:tab/>
        <w:tab/>
        <w:tab/>
        <w:t xml:space="preserve">     </w:t>
      </w:r>
      <w:r>
        <w:rPr>
          <w:b/>
          <w:i/>
        </w:rPr>
        <w:tab/>
        <w:t>Privileged &amp; Confidential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hanging="2160" w:start="3600" w:end="0"/>
        <w:jc w:val="both"/>
        <w:rPr/>
      </w:pPr>
      <w:r>
        <w:rPr/>
        <w:t>Betsy R. Carr</w:t>
        <w:tab/>
        <w:tab/>
        <w:t xml:space="preserve">          </w:t>
        <w:tab/>
        <w:tab/>
      </w:r>
      <w:r>
        <w:rPr>
          <w:i/>
        </w:rPr>
        <w:t xml:space="preserve">       </w:t>
      </w:r>
      <w:r>
        <w:rPr>
          <w:b/>
          <w:i/>
        </w:rPr>
        <w:tab/>
        <w:t>Attorney-Client Communication</w:t>
      </w:r>
    </w:p>
    <w:p>
      <w:pPr>
        <w:pStyle w:val="Normal"/>
        <w:widowControl/>
        <w:ind w:start="1440" w:end="0"/>
        <w:jc w:val="both"/>
        <w:rPr/>
      </w:pPr>
      <w:r>
        <w:rPr/>
        <w:t>Andrea M. Settanni</w:t>
      </w:r>
    </w:p>
    <w:p>
      <w:pPr>
        <w:pStyle w:val="Normal"/>
        <w:widowControl/>
        <w:ind w:firstLine="1440" w:end="0"/>
        <w:jc w:val="both"/>
        <w:rPr/>
      </w:pPr>
      <w:r>
        <w:rPr/>
        <w:t>Bracewell &amp; Patterson, L.L.P.</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widowControl/>
        <w:jc w:val="both"/>
        <w:rPr/>
      </w:pPr>
      <w:r>
        <w:rPr/>
      </w:r>
    </w:p>
    <w:p>
      <w:pPr>
        <w:pStyle w:val="Normal"/>
        <w:widowControl/>
        <w:tabs>
          <w:tab w:val="clear" w:pos="720"/>
          <w:tab w:val="left" w:pos="-1440" w:leader="none"/>
        </w:tabs>
        <w:ind w:hanging="1440" w:start="1440" w:end="720"/>
        <w:jc w:val="both"/>
        <w:rPr/>
      </w:pPr>
      <w:r>
        <w:rPr/>
        <w:t>RE:</w:t>
        <w:tab/>
        <w:tab/>
        <w:t>Public Utility Holding Company Act and Federal Power Act Implications of Minority Ownership Interest in a Software Company</w:t>
      </w:r>
    </w:p>
    <w:p>
      <w:pPr>
        <w:pStyle w:val="Normal"/>
        <w:widowControl/>
        <w:ind w:firstLine="1440" w:end="0"/>
        <w:jc w:val="both"/>
        <w:rPr/>
      </w:pPr>
      <w:r>
        <w:rPr/>
        <w:t>____________________________________________________________</w:t>
      </w:r>
    </w:p>
    <w:p>
      <w:pPr>
        <w:pStyle w:val="Normal"/>
        <w:widowControl/>
        <w:jc w:val="both"/>
        <w:rPr/>
      </w:pPr>
      <w:r>
        <w:rPr/>
      </w:r>
    </w:p>
    <w:p>
      <w:pPr>
        <w:pStyle w:val="Normal"/>
        <w:widowControl/>
        <w:ind w:firstLine="720" w:end="0"/>
        <w:jc w:val="both"/>
        <w:rPr/>
      </w:pPr>
      <w:r>
        <w:rPr/>
        <w:t xml:space="preserve">This memorandum responds to your request for our analysis of the effect, if any, that an Enron Corp. ("Enron") affiliate's minority ownership interest in a software company (the "Company") that designs and develops energy management system ("EMS") and tagging software for bulk power systems may have on Enron Corp.'s status as an exempt public utility holding company under section 3(a)(1) of the Public Utility Holding Company Act of 1935 ("PUHCA"), 15 U.S.C. </w:t>
      </w:r>
      <w:r>
        <w:rPr>
          <w:rFonts w:cs="WP TypographicSymbols" w:ascii="WP TypographicSymbols" w:hAnsi="WP TypographicSymbols"/>
        </w:rPr>
        <w:t>'</w:t>
      </w:r>
      <w:r>
        <w:rPr/>
        <w:t xml:space="preserve"> 79c(a)(1) (1994), or on Enron Power Marketing, Inc.'s ("EPMI's") authority under Part II of the Federal Power Act ("FPA"), 16 U.S.C. </w:t>
      </w:r>
      <w:r>
        <w:rPr>
          <w:rFonts w:cs="WP TypographicSymbols" w:ascii="WP TypographicSymbols" w:hAnsi="WP TypographicSymbols"/>
        </w:rPr>
        <w:t>'</w:t>
      </w:r>
      <w:r>
        <w:rPr/>
        <w:t xml:space="preserve"> 824, </w:t>
      </w:r>
      <w:r>
        <w:rPr>
          <w:i/>
        </w:rPr>
        <w:t>et seq.</w:t>
      </w:r>
      <w:r>
        <w:rPr/>
        <w:t>, to operate as a power marketer and sell power at wholesale for market-based prices.  Based on the facts that you have provided, the proposed ownership interest does not raise any other issues under the FPA.</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sz w:val="28"/>
        </w:rPr>
        <w:t>EXECUTIVE SUMMARY</w:t>
      </w:r>
    </w:p>
    <w:p>
      <w:pPr>
        <w:pStyle w:val="Normal"/>
        <w:widowControl/>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jc w:val="both"/>
        <w:rPr/>
      </w:pPr>
      <w:r>
        <w:rPr/>
        <w:t xml:space="preserve">Ownership by an Enron affiliate of a minority interest in the Company should not jeopardize Enron's current exempt status under PUHCA because the Company will not be considered to be a public utility as defined under PUHCA.  Furthermore, ownership interest in the Company should not jeopardize EPMI's status as a power marketer or its authority to sell power at market-based prices since a minority ownership in such a company should not cause EPMI or any affiliate to acquire market power.  Nevertheless, EPMI may be required to inform the Federal Energy Regulatory Commission ("FERC") of the acquisition through a notice of change in status.  Finally, under certain circumstances, it is conceivable that the Company could obtain from its transmission-provider clients information that might cause FERC to impose on the Company standards of conduct restricting the information that the Company can exchange with EPMI and other Enron affiliates.  Once Enron chooses the particular software company in which it intends to invest, we recommend that we review the company in order to update this memorandum to address the particulars of the investment. </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sz w:val="28"/>
        </w:rPr>
        <w:t>DISCUSSION</w:t>
      </w:r>
    </w:p>
    <w:p>
      <w:pPr>
        <w:pStyle w:val="Normal"/>
        <w:widowControl/>
        <w:jc w:val="both"/>
        <w:rPr/>
      </w:pPr>
      <w:r>
        <w:rPr/>
      </w:r>
    </w:p>
    <w:p>
      <w:pPr>
        <w:pStyle w:val="Normal"/>
        <w:widowControl/>
        <w:tabs>
          <w:tab w:val="clear" w:pos="720"/>
          <w:tab w:val="left" w:pos="-1440" w:leader="none"/>
        </w:tabs>
        <w:ind w:hanging="720" w:start="720" w:end="0"/>
        <w:jc w:val="both"/>
        <w:rPr>
          <w:b/>
          <w:i/>
          <w:i/>
        </w:rPr>
      </w:pPr>
      <w:r>
        <w:rPr>
          <w:b/>
          <w:i/>
        </w:rPr>
        <w:t>A.</w:t>
        <w:tab/>
        <w:t>The Contemplated Transaction</w:t>
      </w:r>
    </w:p>
    <w:p>
      <w:pPr>
        <w:pStyle w:val="Normal"/>
        <w:widowControl/>
        <w:jc w:val="both"/>
        <w:rPr/>
      </w:pPr>
      <w:r>
        <w:rPr/>
      </w:r>
    </w:p>
    <w:p>
      <w:pPr>
        <w:pStyle w:val="Normal"/>
        <w:widowControl/>
        <w:ind w:firstLine="720" w:end="0"/>
        <w:jc w:val="both"/>
        <w:rPr/>
      </w:pPr>
      <w:r>
        <w:rPr/>
        <w:t xml:space="preserve">It is contemplated that a wholly owned subsidiary of Enron may obtain a minority ownership interest in the Company </w:t>
      </w:r>
      <w:r>
        <w:rPr>
          <w:rFonts w:cs="WP TypographicSymbols" w:ascii="WP TypographicSymbols" w:hAnsi="WP TypographicSymbols"/>
        </w:rPr>
        <w:t>C</w:t>
      </w:r>
      <w:r>
        <w:rPr/>
        <w:t xml:space="preserve"> one of several software companies that are developing information technology systems for bulk power systems.  The software being developed generally provides EMS and transaction tagging systems that will be marketed to transmission providers and regional transmission organizations for utilization in the provision of electricity transmission service.  It is our understanding that the design, development, and sale of the software constitutes the only business of the software companies in which the Enron affiliate intends to invest.</w:t>
      </w:r>
    </w:p>
    <w:p>
      <w:pPr>
        <w:pStyle w:val="Normal"/>
        <w:widowControl/>
        <w:jc w:val="both"/>
        <w:rPr/>
      </w:pPr>
      <w:r>
        <w:rPr/>
      </w:r>
    </w:p>
    <w:p>
      <w:pPr>
        <w:pStyle w:val="Normal"/>
        <w:widowControl/>
        <w:jc w:val="both"/>
        <w:rPr/>
      </w:pPr>
      <w:r>
        <w:rPr/>
        <w:t xml:space="preserve"> </w:t>
      </w:r>
      <w:r>
        <w:rPr/>
        <w:tab/>
      </w:r>
    </w:p>
    <w:p>
      <w:pPr>
        <w:pStyle w:val="Normal"/>
        <w:widowControl/>
        <w:tabs>
          <w:tab w:val="clear" w:pos="720"/>
          <w:tab w:val="left" w:pos="-1440" w:leader="none"/>
        </w:tabs>
        <w:ind w:hanging="720" w:start="720" w:end="0"/>
        <w:jc w:val="both"/>
        <w:rPr>
          <w:b/>
          <w:i/>
          <w:i/>
        </w:rPr>
      </w:pPr>
      <w:r>
        <w:rPr>
          <w:b/>
          <w:i/>
        </w:rPr>
        <w:t>B.</w:t>
        <w:tab/>
        <w:t>PUHCA Implications</w:t>
      </w:r>
    </w:p>
    <w:p>
      <w:pPr>
        <w:pStyle w:val="Normal"/>
        <w:widowControl/>
        <w:jc w:val="both"/>
        <w:rPr/>
      </w:pPr>
      <w:r>
        <w:rPr/>
      </w:r>
    </w:p>
    <w:p>
      <w:pPr>
        <w:pStyle w:val="Normal"/>
        <w:widowControl/>
        <w:ind w:firstLine="720" w:end="0"/>
        <w:jc w:val="both"/>
        <w:rPr/>
      </w:pPr>
      <w:r>
        <w:rPr/>
        <w:t xml:space="preserve">Enron's status under PUHCA as an exempt public utility holding company derives from the fact that Enron and its public utility subsidiary, Portland General Electric Company ("PGE"), "are predominantly intrastate in character and carry on their business substantially in [Oregon] in which [Enron and PGE] are organized."  15 U.S.C. </w:t>
      </w:r>
      <w:r>
        <w:rPr>
          <w:rFonts w:cs="WP TypographicSymbols" w:ascii="WP TypographicSymbols" w:hAnsi="WP TypographicSymbols"/>
        </w:rPr>
        <w:t>'</w:t>
      </w:r>
      <w:r>
        <w:rPr/>
        <w:t> 79c(a)(1).   This is known as the intrastate or single-state exemption.  Were Enron to acquire 10 percent or more of the outstanding voting securities of a public utility in a state other than Oregon, then Enron would lose its eligibility for the single-state exemption and would risk being regulated as a registered (</w:t>
      </w:r>
      <w:r>
        <w:rPr>
          <w:i/>
        </w:rPr>
        <w:t>i.e.</w:t>
      </w:r>
      <w:r>
        <w:rPr/>
        <w:t>, non-exempt) public utility holding company.  Thus, if the software company in which Enron may invest is a public utility for purposes of PUHCA and is outside the state of Oregon, then Enron (as a minority owner of greater than 10% interest in the software company) would lose its single-state exemption.</w:t>
      </w:r>
    </w:p>
    <w:p>
      <w:pPr>
        <w:pStyle w:val="Normal"/>
        <w:widowControl/>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jc w:val="both"/>
        <w:rPr/>
      </w:pPr>
      <w:r>
        <w:rPr/>
        <w:t xml:space="preserve">Acquiring a minority ownership interest in the Company will not cause Enron to lose its exempt status, however, because the Company will not be a public utility company as defined in section 2(a)(3) of PUHCA.  A public utility holding company is a company that owns, controls, or holds power to vote, 10% or more of the outstanding voting securities of a public utility company.  </w:t>
      </w:r>
      <w:r>
        <w:rPr>
          <w:i/>
        </w:rPr>
        <w:t>Id.</w:t>
      </w:r>
      <w:r>
        <w:rPr/>
        <w:t xml:space="preserve"> </w:t>
      </w:r>
      <w:r>
        <w:rPr>
          <w:rFonts w:cs="WP TypographicSymbols" w:ascii="WP TypographicSymbols" w:hAnsi="WP TypographicSymbols"/>
        </w:rPr>
        <w:t>'</w:t>
      </w:r>
      <w:r>
        <w:rPr/>
        <w:t xml:space="preserve"> 79b(a)(7).  A public utility company includes an electric utility company.  </w:t>
      </w:r>
      <w:r>
        <w:rPr>
          <w:i/>
        </w:rPr>
        <w:t>Id.</w:t>
      </w:r>
      <w:r>
        <w:rPr/>
        <w:t xml:space="preserve"> </w:t>
      </w:r>
      <w:r>
        <w:rPr>
          <w:rFonts w:cs="WP TypographicSymbols" w:ascii="WP TypographicSymbols" w:hAnsi="WP TypographicSymbols"/>
        </w:rPr>
        <w:t>'</w:t>
      </w:r>
      <w:r>
        <w:rPr/>
        <w:t xml:space="preserve"> 79b(a)(5).  An electric utility company is defined as "any company which owns or operates facilities used for the generation, transmission, or distribution of electric energy for sale."  </w:t>
      </w:r>
      <w:r>
        <w:rPr>
          <w:i/>
        </w:rPr>
        <w:t>Id.</w:t>
      </w:r>
      <w:r>
        <w:rPr/>
        <w:t xml:space="preserve"> </w:t>
      </w:r>
      <w:r>
        <w:rPr>
          <w:rFonts w:cs="WP TypographicSymbols" w:ascii="WP TypographicSymbols" w:hAnsi="WP TypographicSymbols"/>
        </w:rPr>
        <w:t>'</w:t>
      </w:r>
      <w:r>
        <w:rPr/>
        <w:t> 79b(a)(3).  As described, the Company in which the Enron affiliate may invest will not be involved in the generation, transmission, or distribution of electric energy.  Instead, the Company will merely be involved in the development of software utilized to facilitate the sale and transmission of electric energy as well as other energy products.</w:t>
      </w:r>
    </w:p>
    <w:p>
      <w:pPr>
        <w:pStyle w:val="Normal"/>
        <w:widowControl/>
        <w:jc w:val="both"/>
        <w:rPr/>
      </w:pPr>
      <w:r>
        <w:rPr/>
      </w:r>
    </w:p>
    <w:p>
      <w:pPr>
        <w:pStyle w:val="Normal"/>
        <w:widowControl/>
        <w:ind w:firstLine="720" w:end="0"/>
        <w:jc w:val="both"/>
        <w:rPr/>
      </w:pPr>
      <w:r>
        <w:rPr/>
        <w:t xml:space="preserve">No Securities and Exchange Commission ("SEC") precedent has defined the term "facilities" as used in the definition of "electric utility company" to include the development of software to be sold to electric power industry participants that generate, transmit, or distribute electric energy for sale.  However, in one No-Action letter, the staff of the SEC stated that they would not recommend SEC enforcement action against the California ISO and California PX Restructuring Trusts ("Trusts") because the Trusts' development of hardware and software systems for the operation of the California electric transmission system operated by the California ISO and the electricity market operated by the California PX would not make the Trusts electric utilities under PUHCA.  </w:t>
      </w:r>
      <w:r>
        <w:rPr>
          <w:i/>
        </w:rPr>
        <w:t>ISO &amp; PX Restructuring Trusts</w:t>
      </w:r>
      <w:r>
        <w:rPr/>
        <w:t>, 1997 SEC No-Act. LEXIS 782 (1997).  The Trusts represented in their request for a No-Action letter that they would neither own nor operate facilities used for the generation, transmission, or distribution of electric energy for sale, but rather would only be involved in developing and testing the assets that later would be used to operate the California ISO and the California PX.  Furthermore, the Trusts maintained that even if the assets were deemed to be "facilities" for purposes of PUHCA, the Trusts only would own the assets before they were actually used in connection with the generation, transmission or distribution of electricity for sale.  The Trusts concluded, therefore, that facilities in the pre-operational stage should not be deemed to be used for the generation, transmission or distribution of electric energy for sale.</w:t>
      </w:r>
    </w:p>
    <w:p>
      <w:pPr>
        <w:pStyle w:val="Normal"/>
        <w:widowControl/>
        <w:jc w:val="both"/>
        <w:rPr/>
      </w:pPr>
      <w:r>
        <w:rPr/>
      </w:r>
    </w:p>
    <w:p>
      <w:pPr>
        <w:pStyle w:val="Normal"/>
        <w:widowControl/>
        <w:ind w:firstLine="720" w:end="0"/>
        <w:jc w:val="both"/>
        <w:rPr/>
      </w:pPr>
      <w:r>
        <w:rPr/>
        <w:t xml:space="preserve">An SEC No-Action letter has no precedential effect.  However, No-Action letters are a good indicator of how the SEC will enforce PUHCA with respect to similar facts.  Based on the </w:t>
      </w:r>
      <w:r>
        <w:rPr>
          <w:i/>
        </w:rPr>
        <w:t>ISO &amp; PX Restructuring Trusts</w:t>
      </w:r>
      <w:r>
        <w:rPr/>
        <w:t xml:space="preserve">, we believe that the Company in the instant case should not be deemed to be a public utility company under PUHCA simply by virtue of the fact that it develops software later to be used in connection with the generation, transmission and distribution of electric energy for sale.  If Enron believes that it requires a greater degree of certainty that its minority ownership in a software company will be viewed by the SEC in the same light as the ISO and PX Restructuring Trusts, we would be happy to assist Enron in requesting a No-Action letter from the SEC staff.  However, it is our opinion that such a requirement is unnecessary based on the facts presented to us.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720" w:end="0"/>
        <w:jc w:val="both"/>
        <w:rPr>
          <w:b/>
          <w:i/>
          <w:i/>
        </w:rPr>
      </w:pPr>
      <w:r>
        <w:rPr>
          <w:b/>
          <w:i/>
        </w:rPr>
        <w:t>C.</w:t>
        <w:tab/>
        <w:t>FPA Implications</w:t>
      </w:r>
    </w:p>
    <w:p>
      <w:pPr>
        <w:pStyle w:val="Normal"/>
        <w:widowControl/>
        <w:jc w:val="both"/>
        <w:rPr/>
      </w:pPr>
      <w:r>
        <w:rPr/>
      </w:r>
    </w:p>
    <w:p>
      <w:pPr>
        <w:pStyle w:val="Normal"/>
        <w:widowControl/>
        <w:ind w:firstLine="720" w:end="0"/>
        <w:jc w:val="both"/>
        <w:rPr/>
      </w:pPr>
      <w:r>
        <w:rPr/>
        <w:t>Enron's contemplated investment in the Company raises the issue under the FPA of whether the investment will result in Enron obtaining market power that is inconsistent with EPMI's market-based rate authority.  Pursuant to the FPA, FERC regulates sales of electric energy at wholesale and electricity transmission in interstate commerce.  Under this jurisdictional grant, FERC regulates the wholesale electricity sales by EPMI and the provision of transmission services by the entities who may utilize the software marketed and developed by the Company.</w:t>
      </w:r>
    </w:p>
    <w:p>
      <w:pPr>
        <w:pStyle w:val="Normal"/>
        <w:widowControl/>
        <w:jc w:val="both"/>
        <w:rPr/>
      </w:pPr>
      <w:r>
        <w:rPr/>
      </w:r>
    </w:p>
    <w:p>
      <w:pPr>
        <w:pStyle w:val="Normal"/>
        <w:widowControl/>
        <w:tabs>
          <w:tab w:val="clear" w:pos="720"/>
          <w:tab w:val="left" w:pos="-1440" w:leader="none"/>
        </w:tabs>
        <w:ind w:hanging="720" w:start="1440" w:end="0"/>
        <w:jc w:val="both"/>
        <w:rPr>
          <w:b/>
          <w:i/>
          <w:i/>
        </w:rPr>
      </w:pPr>
      <w:r>
        <w:rPr>
          <w:b/>
          <w:i/>
        </w:rPr>
        <w:t>1.</w:t>
        <w:tab/>
        <w:t>EPMI's Current Status as a Power Marketer</w:t>
      </w:r>
    </w:p>
    <w:p>
      <w:pPr>
        <w:pStyle w:val="Normal"/>
        <w:widowControl/>
        <w:jc w:val="both"/>
        <w:rPr>
          <w:b/>
          <w:i/>
          <w:i/>
        </w:rPr>
      </w:pPr>
      <w:r>
        <w:rPr>
          <w:b/>
          <w:i/>
        </w:rPr>
      </w:r>
    </w:p>
    <w:p>
      <w:pPr>
        <w:pStyle w:val="Normal"/>
        <w:widowControl/>
        <w:ind w:firstLine="720" w:end="0"/>
        <w:jc w:val="both"/>
        <w:rPr>
          <w:vertAlign w:val="superscript"/>
        </w:rPr>
      </w:pPr>
      <w:r>
        <w:rPr/>
        <w:t xml:space="preserve">EPMI functions as a power marketer pursuant to a FERC order issued December 2, 1993, accepting EPMI's market-based rate schedule for wholesale sales of electric energy and capacity.  </w:t>
      </w:r>
      <w:r>
        <w:rPr>
          <w:i/>
        </w:rPr>
        <w:t>Enron Power</w:t>
      </w:r>
      <w:r>
        <w:rPr/>
        <w:t xml:space="preserve"> </w:t>
      </w:r>
      <w:r>
        <w:rPr>
          <w:i/>
        </w:rPr>
        <w:t>Marketing, Inc.</w:t>
      </w:r>
      <w:r>
        <w:rPr/>
        <w:t xml:space="preserve">, 65 F.E.R.C. </w:t>
      </w:r>
      <w:r>
        <w:rPr>
          <w:rFonts w:cs="WP TypographicSymbols" w:ascii="WP TypographicSymbols" w:hAnsi="WP TypographicSymbols"/>
        </w:rPr>
        <w:t>&amp;</w:t>
      </w:r>
      <w:r>
        <w:rPr/>
        <w:t xml:space="preserve"> 61,305, </w:t>
      </w:r>
      <w:r>
        <w:rPr>
          <w:i/>
        </w:rPr>
        <w:t>order on reh'g</w:t>
      </w:r>
      <w:r>
        <w:rPr/>
        <w:t xml:space="preserve">, 66 F.E.R.C. </w:t>
      </w:r>
      <w:r>
        <w:rPr>
          <w:rFonts w:cs="WP TypographicSymbols" w:ascii="WP TypographicSymbols" w:hAnsi="WP TypographicSymbols"/>
        </w:rPr>
        <w:t>&amp;</w:t>
      </w:r>
      <w:r>
        <w:rPr/>
        <w:t xml:space="preserve"> 61,244 (1994). Before FERC will accept a market-based rate schedule it requires the applicant to demonstrate that neither it nor its affiliates have market power in generation and transmission or can erect other barriers to entry. In order for a public utility's affiliated power marketer to demonstrate the absence or mitigation of transmission market power, the public utility must have on file with FERC an open-access transmission tariff for the provision of comparable services.  FERC also considers whether there is evidence of discrimination in favor of affiliates or reciprocal dealing. </w:t>
      </w:r>
    </w:p>
    <w:p>
      <w:pPr>
        <w:pStyle w:val="Normal"/>
        <w:widowControl/>
        <w:jc w:val="both"/>
        <w:rPr>
          <w:b/>
          <w:vertAlign w:val="superscript"/>
        </w:rPr>
      </w:pPr>
      <w:r>
        <w:rPr>
          <w:b/>
          <w:vertAlign w:val="superscript"/>
        </w:rPr>
      </w:r>
    </w:p>
    <w:p>
      <w:pPr>
        <w:pStyle w:val="Normal"/>
        <w:widowControl/>
        <w:ind w:firstLine="720" w:end="0"/>
        <w:jc w:val="both"/>
        <w:rPr/>
      </w:pPr>
      <w:r>
        <w:rPr/>
        <w:t xml:space="preserve">When FERC authorized EPMI to charge market-based rates, it found that neither EPMI nor its affiliates possessed market power in generation or transmission.  </w:t>
      </w:r>
      <w:r>
        <w:rPr>
          <w:i/>
        </w:rPr>
        <w:t>Enron Power Marketing, Inc.</w:t>
      </w:r>
      <w:r>
        <w:rPr/>
        <w:t xml:space="preserve">, 65 F.E.R.C. at 62,404-05.  Even though EPMI was affiliated with various buyers and sellers of natural gas as well as several interstate natural gas pipelines, FERC found that the pipelines were non-discriminatory, open-access carriers, and thus lacking in market power.  </w:t>
      </w:r>
      <w:r>
        <w:rPr>
          <w:i/>
        </w:rPr>
        <w:t xml:space="preserve">Id. </w:t>
      </w:r>
      <w:r>
        <w:rPr/>
        <w:t xml:space="preserve"> at 62,405.  FERC further found that there was no evidence that Enron or any of its affiliates owned or controlled any other resources that could be used to create barriers to entry by other suppliers and also that there was no evidence that EPMI would engage in any self or reciprocal dealing.  </w:t>
      </w:r>
      <w:r>
        <w:rPr>
          <w:i/>
        </w:rPr>
        <w:t xml:space="preserve">Id.  </w:t>
      </w:r>
    </w:p>
    <w:p>
      <w:pPr>
        <w:pStyle w:val="Normal"/>
        <w:widowControl/>
        <w:jc w:val="both"/>
        <w:rPr/>
      </w:pPr>
      <w:r>
        <w:rPr/>
      </w:r>
    </w:p>
    <w:p>
      <w:pPr>
        <w:pStyle w:val="Normal"/>
        <w:widowControl/>
        <w:ind w:firstLine="720" w:end="0"/>
        <w:jc w:val="both"/>
        <w:rPr>
          <w:i/>
          <w:i/>
        </w:rPr>
      </w:pPr>
      <w:r>
        <w:rPr/>
        <w:t xml:space="preserve">FERC reevaluated each of these factors when it approved the merger application of Enron Corp. and Portland General Electric ("PGE").  </w:t>
      </w:r>
      <w:r>
        <w:rPr>
          <w:i/>
        </w:rPr>
        <w:t>Enron Corp.</w:t>
      </w:r>
      <w:r>
        <w:rPr/>
        <w:t xml:space="preserve">, 78 F.E.R.C. </w:t>
      </w:r>
      <w:r>
        <w:rPr>
          <w:rFonts w:cs="WP TypographicSymbols" w:ascii="WP TypographicSymbols" w:hAnsi="WP TypographicSymbols"/>
        </w:rPr>
        <w:t>&amp;</w:t>
      </w:r>
      <w:r>
        <w:rPr/>
        <w:t xml:space="preserve"> 61,179 (1997).  In that proceeding, FERC determined that the merger would not increase EPMI's generation or transmission market power because PGE had an open-access tariff on file, and EPMI did not own or control any transmission facilities.  </w:t>
      </w:r>
      <w:r>
        <w:rPr>
          <w:i/>
        </w:rPr>
        <w:t xml:space="preserve">Id. </w:t>
      </w:r>
      <w:r>
        <w:rPr/>
        <w:t xml:space="preserve">at 61,734 n.30 (citing </w:t>
      </w:r>
      <w:r>
        <w:rPr>
          <w:i/>
        </w:rPr>
        <w:t>IES Utilities, Inc.</w:t>
      </w:r>
      <w:r>
        <w:rPr/>
        <w:t xml:space="preserve">, 78 F.E.R.C. </w:t>
      </w:r>
      <w:r>
        <w:rPr>
          <w:rFonts w:cs="WP TypographicSymbols" w:ascii="WP TypographicSymbols" w:hAnsi="WP TypographicSymbols"/>
        </w:rPr>
        <w:t>&amp;</w:t>
      </w:r>
      <w:r>
        <w:rPr/>
        <w:t xml:space="preserve"> 61,023 at 61,095 (1997)).  FERC also found that the merger would not result in EPMI's increasing its ability to erect barriers to entry and that the changes EPMI proposed for its market-based rate schedules were sufficient to safeguard against the possibility of affiliate abuse. </w:t>
      </w:r>
      <w:r>
        <w:rPr>
          <w:i/>
        </w:rPr>
        <w:t xml:space="preserve">Id. </w:t>
      </w:r>
      <w:r>
        <w:rPr/>
        <w:t>at 61,741.</w:t>
      </w:r>
    </w:p>
    <w:p>
      <w:pPr>
        <w:pStyle w:val="Normal"/>
        <w:widowControl/>
        <w:jc w:val="both"/>
        <w:rPr>
          <w:i/>
          <w:i/>
        </w:rPr>
      </w:pPr>
      <w:r>
        <w:rPr>
          <w:i/>
        </w:rPr>
      </w:r>
    </w:p>
    <w:p>
      <w:pPr>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jc w:val="both"/>
        <w:rPr/>
      </w:pPr>
      <w:r>
        <w:rPr/>
        <w:t xml:space="preserve">EPMI's authority to charge market-based rates subjects it to a continuing obligation to inform FERC of a change in status in organization or operation that would reflect a departure from the characteristics that FERC relied upon in approving market-based pricing, including but not limited to: </w:t>
      </w:r>
    </w:p>
    <w:p>
      <w:pPr>
        <w:pStyle w:val="Normal"/>
        <w:widowControl/>
        <w:jc w:val="both"/>
        <w:rPr/>
      </w:pPr>
      <w:r>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tab/>
        <w:t>ownership of generation or transmission facilities or other inputs to electric power production other than fuel supplies;</w:t>
      </w:r>
    </w:p>
    <w:p>
      <w:pPr>
        <w:pStyle w:val="Normal"/>
        <w:widowControl/>
        <w:jc w:val="both"/>
        <w:rPr/>
      </w:pPr>
      <w:r>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tab/>
        <w:t>affiliation with anyone who owns generation or transmission facilities or inputs to electric power production or affiliation with any entity that has a franchised service area; and</w:t>
      </w:r>
    </w:p>
    <w:p>
      <w:pPr>
        <w:pStyle w:val="Normal"/>
        <w:widowControl/>
        <w:jc w:val="both"/>
        <w:rPr/>
      </w:pPr>
      <w:r>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tab/>
      </w:r>
      <w:r>
        <w:rPr>
          <w:i/>
        </w:rPr>
        <w:t>business arrangements</w:t>
      </w:r>
      <w:r>
        <w:rPr/>
        <w:t xml:space="preserve"> involving EPMI or any entity affiliated with EPMI and the entities who buy from or sell power to EPMI.</w:t>
      </w:r>
    </w:p>
    <w:p>
      <w:pPr>
        <w:pStyle w:val="Normal"/>
        <w:widowControl/>
        <w:ind w:firstLine="7200" w:end="0"/>
        <w:jc w:val="both"/>
        <w:rPr/>
      </w:pPr>
      <w:r>
        <w:rPr/>
      </w:r>
    </w:p>
    <w:p>
      <w:pPr>
        <w:pStyle w:val="Normal"/>
        <w:widowControl/>
        <w:jc w:val="both"/>
        <w:rPr/>
      </w:pPr>
      <w:r>
        <w:rPr>
          <w:i/>
        </w:rPr>
        <w:t>See Enron Power Marketing, Inc.</w:t>
      </w:r>
      <w:r>
        <w:rPr/>
        <w:t xml:space="preserve">, 66 F.E.R.C. </w:t>
      </w:r>
      <w:r>
        <w:rPr>
          <w:rFonts w:cs="WP TypographicSymbols" w:ascii="WP TypographicSymbols" w:hAnsi="WP TypographicSymbols"/>
        </w:rPr>
        <w:t>&amp;</w:t>
      </w:r>
      <w:r>
        <w:rPr/>
        <w:t xml:space="preserve"> 61,244 at 61,598 (citing </w:t>
      </w:r>
      <w:r>
        <w:rPr>
          <w:i/>
        </w:rPr>
        <w:t>Louis Dreyfus Electric Power, Inc.</w:t>
      </w:r>
      <w:r>
        <w:rPr/>
        <w:t xml:space="preserve">, 61 F.E.R.C. </w:t>
      </w:r>
      <w:r>
        <w:rPr>
          <w:rFonts w:cs="WP TypographicSymbols" w:ascii="WP TypographicSymbols" w:hAnsi="WP TypographicSymbols"/>
        </w:rPr>
        <w:t>&amp;</w:t>
      </w:r>
      <w:r>
        <w:rPr/>
        <w:t> 61,303 (1992)).</w:t>
      </w:r>
      <w:r>
        <w:rPr>
          <w:i/>
        </w:rPr>
        <w:t xml:space="preserve"> </w:t>
      </w:r>
      <w:r>
        <w:rPr/>
        <w:t xml:space="preserve"> </w:t>
      </w:r>
    </w:p>
    <w:p>
      <w:pPr>
        <w:pStyle w:val="Normal"/>
        <w:widowControl/>
        <w:jc w:val="both"/>
        <w:rPr/>
      </w:pPr>
      <w:r>
        <w:rPr/>
      </w:r>
    </w:p>
    <w:p>
      <w:pPr>
        <w:pStyle w:val="Normal"/>
        <w:widowControl/>
        <w:ind w:firstLine="720" w:end="0"/>
        <w:jc w:val="both"/>
        <w:rPr/>
      </w:pPr>
      <w:r>
        <w:rPr/>
        <w:t xml:space="preserve">In </w:t>
      </w:r>
      <w:r>
        <w:rPr>
          <w:i/>
        </w:rPr>
        <w:t>EPMI</w:t>
      </w:r>
      <w:r>
        <w:rPr/>
        <w:t xml:space="preserve">, FERC denied EPMI's request to limit the term "business arrangements" to generation projects, stating that the term was purposefully broad.  </w:t>
      </w:r>
      <w:r>
        <w:rPr>
          <w:i/>
        </w:rPr>
        <w:t>Id.</w:t>
      </w:r>
      <w:r>
        <w:rPr/>
        <w:t xml:space="preserve"> at 61,598.  FERC explained that because its concern in power marketer situations is with detecting the ability to engage in self or reciprocal dealing, to erect barriers to entry, or, generally, to achieve market power, it needs to know about </w:t>
      </w:r>
      <w:r>
        <w:rPr>
          <w:i/>
        </w:rPr>
        <w:t>all</w:t>
      </w:r>
      <w:r>
        <w:rPr/>
        <w:t xml:space="preserve"> of the marketer's business activities.  FERC explained that EPMI's "business arrangements," even those unrelated to its involvement in generating projects, may affect its determination whether the rates it charges result from a lack of market power.  FERC acknowledged the expansive nature of the informational reporting requirement, especially for a marketer such as EPMI that is part of a large, diversified corporate family, but explained that the  potential for market power and abuse increases as the power marketer becomes larger and more diversified.  </w:t>
      </w:r>
      <w:r>
        <w:rPr>
          <w:i/>
        </w:rPr>
        <w:t>Id.</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1440" w:end="0"/>
        <w:jc w:val="both"/>
        <w:rPr>
          <w:i/>
          <w:i/>
        </w:rPr>
      </w:pPr>
      <w:r>
        <w:rPr>
          <w:b/>
          <w:i/>
        </w:rPr>
        <w:t>2.</w:t>
        <w:tab/>
        <w:t>EPMI's Status as an Affiliate of the Company</w:t>
      </w:r>
    </w:p>
    <w:p>
      <w:pPr>
        <w:pStyle w:val="Normal"/>
        <w:widowControl/>
        <w:jc w:val="both"/>
        <w:rPr>
          <w:i/>
          <w:i/>
        </w:rPr>
      </w:pPr>
      <w:r>
        <w:rPr>
          <w:i/>
        </w:rPr>
      </w:r>
    </w:p>
    <w:p>
      <w:pPr>
        <w:pStyle w:val="Normal"/>
        <w:widowControl/>
        <w:ind w:firstLine="720" w:end="0"/>
        <w:jc w:val="both"/>
        <w:rPr/>
      </w:pPr>
      <w:r>
        <w:rPr/>
        <w:t xml:space="preserve">Acquiring a minority ownership in the described software company will not change EPMI's ownership of generation or transmission facilities or inputs to electric power production, or affiliation with any entity that owns generation or transmission facilities or has a franchised service area.  Nevertheless, because the Company will provide EMS and tagging services, its acquisition may trigger a change in status in business arrangements between an entity affiliated with EPMI (the Company) and entities that buy power from and sell power to EPMI (utilities, transmission providers and transmission customers).  Such a change in status would require EPMI to inform FERC of the departure from a characteristic FERC relied upon in approving market-based pricing for EPMI.  At most, however, EPMI should only be required to inform FERC of its minority ownership in the computer firm. </w:t>
      </w:r>
    </w:p>
    <w:p>
      <w:pPr>
        <w:pStyle w:val="Normal"/>
        <w:widowControl/>
        <w:jc w:val="both"/>
        <w:rPr/>
      </w:pPr>
      <w:r>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jc w:val="both"/>
        <w:rPr/>
      </w:pPr>
      <w:r>
        <w:rPr/>
        <w:t xml:space="preserve">Because the acquisition will not increase EPMI's ability to erect barriers to entry, it is unlikely that FERC will find that a minority ownership in the Company will affect EPMI's earlier market power analysis.  Although there are no cases directly involving affiliation of a marketer with an EMS and tagging service software provider, certain decisional precedents are analogous and instructive.  In evaluating barriers to entry, FERC will examine, </w:t>
      </w:r>
      <w:r>
        <w:rPr>
          <w:i/>
        </w:rPr>
        <w:t>inter alia</w:t>
      </w:r>
      <w:r>
        <w:rPr/>
        <w:t xml:space="preserve">, a power seller's ownership of building sites and affiliation with or ownership in engineering and construction firms.  </w:t>
      </w:r>
      <w:r>
        <w:rPr>
          <w:i/>
        </w:rPr>
        <w:t>Heartland Energy Services, Inc.</w:t>
      </w:r>
      <w:r>
        <w:rPr/>
        <w:t xml:space="preserve">, 68 F.E.R.C. </w:t>
      </w:r>
      <w:r>
        <w:rPr>
          <w:rFonts w:cs="WP TypographicSymbols" w:ascii="WP TypographicSymbols" w:hAnsi="WP TypographicSymbols"/>
        </w:rPr>
        <w:t>&amp;</w:t>
      </w:r>
      <w:r>
        <w:rPr/>
        <w:t xml:space="preserve"> 61,223 at 62,062 (1994).  As an example in </w:t>
      </w:r>
      <w:r>
        <w:rPr>
          <w:i/>
        </w:rPr>
        <w:t>Heartland Energy</w:t>
      </w:r>
      <w:r>
        <w:rPr/>
        <w:t xml:space="preserve">, FERC cited </w:t>
      </w:r>
      <w:r>
        <w:rPr>
          <w:i/>
        </w:rPr>
        <w:t>Wallkill Generating Co., L.P.</w:t>
      </w:r>
      <w:r>
        <w:rPr/>
        <w:t xml:space="preserve">, 56 F.E.R.C. </w:t>
      </w:r>
      <w:r>
        <w:rPr>
          <w:rFonts w:cs="WP TypographicSymbols" w:ascii="WP TypographicSymbols" w:hAnsi="WP TypographicSymbols"/>
        </w:rPr>
        <w:t>&amp;</w:t>
      </w:r>
      <w:r>
        <w:rPr/>
        <w:t xml:space="preserve"> 61,067 at 61,250 (1991), where it "determined that affiliation with a major engineering  and construction firm could not be used to erect barriers to entry  because there were a large number of such firms operating on a national basis."  68 F.E.R.C. at 62,062.   Similarly, the provision of financial services to the electric industry was considered in </w:t>
      </w:r>
      <w:r>
        <w:rPr>
          <w:i/>
        </w:rPr>
        <w:t>Morgan Stanley Capital Group Inc.</w:t>
      </w:r>
      <w:r>
        <w:rPr/>
        <w:t xml:space="preserve">, 69 F.E.R.C. </w:t>
      </w:r>
      <w:r>
        <w:rPr>
          <w:rFonts w:cs="WP TypographicSymbols" w:ascii="WP TypographicSymbols" w:hAnsi="WP TypographicSymbols"/>
        </w:rPr>
        <w:t>&amp;</w:t>
      </w:r>
      <w:r>
        <w:rPr/>
        <w:t xml:space="preserve"> 61,175 at 61,693 (1994), where FERC concluded that Morgan Stanley Capital Group, Inc.  ("MS Capital") could not erect barriers to entry because "there are many similar entities [financial institutions]" competing to provide the same services to the industry.  FERC specifically determined that Morgan Stanley Group Inc., MS Capital's parent and a major financial institution that provides financial services to the electric utility industry, was "not in a position to limit . . . access . . . to such financial services in an effort to support MS Capital's power marketing activities."  </w:t>
      </w:r>
      <w:r>
        <w:rPr>
          <w:i/>
        </w:rPr>
        <w:t xml:space="preserve">Id. </w:t>
      </w:r>
    </w:p>
    <w:p>
      <w:pPr>
        <w:pStyle w:val="Normal"/>
        <w:widowControl/>
        <w:jc w:val="both"/>
        <w:rPr/>
      </w:pPr>
      <w:r>
        <w:rPr/>
      </w:r>
    </w:p>
    <w:p>
      <w:pPr>
        <w:pStyle w:val="Normal"/>
        <w:widowControl/>
        <w:ind w:firstLine="720" w:end="0"/>
        <w:jc w:val="both"/>
        <w:rPr/>
      </w:pPr>
      <w:r>
        <w:rPr/>
        <w:t xml:space="preserve">The situation in the instant case is analogous to that in </w:t>
      </w:r>
      <w:r>
        <w:rPr>
          <w:i/>
        </w:rPr>
        <w:t xml:space="preserve">Morgan Stanley </w:t>
      </w:r>
      <w:r>
        <w:rPr/>
        <w:t xml:space="preserve">and </w:t>
      </w:r>
      <w:r>
        <w:rPr>
          <w:i/>
        </w:rPr>
        <w:t>Wallkill</w:t>
      </w:r>
      <w:r>
        <w:rPr/>
        <w:t>, where FERC concluded a marketers affiliation with financial institutions and construction and engineering firms did not erect barriers to entry inconsistent with market-based rate authority. Similarly, while EMS and tagging services may be or become important inputs to the transmission, generation and distribution of electric energy for sale, there are other existing and potential providers of the same software services.  Therefore, FERC is unlikely to believe that EPMI's minority interest in the Company could erect barriers to entry and confer market power on EPMI or another Enron affiliate.</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1440" w:end="0"/>
        <w:jc w:val="both"/>
        <w:rPr>
          <w:b/>
          <w:i/>
          <w:i/>
        </w:rPr>
      </w:pPr>
      <w:r>
        <w:rPr>
          <w:b/>
          <w:i/>
        </w:rPr>
        <w:t>3.</w:t>
        <w:tab/>
        <w:t>Standards of Conduct Issues</w:t>
      </w:r>
    </w:p>
    <w:p>
      <w:pPr>
        <w:pStyle w:val="Normal"/>
        <w:widowControl/>
        <w:jc w:val="both"/>
        <w:rPr/>
      </w:pPr>
      <w:r>
        <w:rPr/>
      </w:r>
    </w:p>
    <w:p>
      <w:pPr>
        <w:pStyle w:val="Normal"/>
        <w:widowControl/>
        <w:ind w:firstLine="720" w:end="0"/>
        <w:jc w:val="both"/>
        <w:rPr/>
      </w:pPr>
      <w:r>
        <w:rPr/>
        <w:t xml:space="preserve">A final factor that should be considered is the Company's access to restricted transmission information.  Conceivably, scenarios could occur </w:t>
      </w:r>
      <w:r>
        <w:rPr>
          <w:rFonts w:cs="WP TypographicSymbols" w:ascii="WP TypographicSymbols" w:hAnsi="WP TypographicSymbols"/>
        </w:rPr>
        <w:t>C</w:t>
      </w:r>
      <w:r>
        <w:rPr/>
        <w:t xml:space="preserve">  </w:t>
      </w:r>
      <w:r>
        <w:rPr>
          <w:i/>
        </w:rPr>
        <w:t>e.g.</w:t>
      </w:r>
      <w:r>
        <w:rPr/>
        <w:t xml:space="preserve">, on-sight testing </w:t>
      </w:r>
      <w:r>
        <w:rPr>
          <w:rFonts w:cs="WP TypographicSymbols" w:ascii="WP TypographicSymbols" w:hAnsi="WP TypographicSymbols"/>
        </w:rPr>
        <w:t>C</w:t>
      </w:r>
      <w:r>
        <w:rPr/>
        <w:t xml:space="preserve">  in which the Company could obtain or have access to information that only a transmission provider ordinarily would have and which, for that reason, could make the Company or its affiliates subject to information/communications restrictions of FERC's standards of conduct for transmission providers. These restrictions prohibit affiliates of transmission providers from being accorded preferential treatment in transmission services or preferential access to information regarding transmission services. 18 C.F.R. </w:t>
      </w:r>
      <w:r>
        <w:rPr>
          <w:rFonts w:cs="WP TypographicSymbols" w:ascii="WP TypographicSymbols" w:hAnsi="WP TypographicSymbols"/>
        </w:rPr>
        <w:t>'</w:t>
      </w:r>
      <w:r>
        <w:rPr/>
        <w:t> 37.4 (1999).</w:t>
      </w:r>
    </w:p>
    <w:p>
      <w:pPr>
        <w:pStyle w:val="Normal"/>
        <w:widowControl/>
        <w:jc w:val="both"/>
        <w:rPr/>
      </w:pPr>
      <w:r>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widowControl/>
        <w:ind w:firstLine="720" w:end="0"/>
        <w:jc w:val="both"/>
        <w:rPr/>
      </w:pPr>
      <w:r>
        <w:rPr/>
        <w:t xml:space="preserve">The Company's employees that assist a transmission provider in installing and using the Company's software may be considered as "standing in the shoes" of the transmission provider and be deemed subject to the same standards of conduct as the transmission provider with respect to disseminating transmission information to affiliates.  In that event, the Company would be prohibited from communicating any information that it obtains from the transmission provider to any of the Company's affiliates, including EPMI.    </w:t>
      </w:r>
    </w:p>
    <w:p>
      <w:pPr>
        <w:pStyle w:val="Normal"/>
        <w:widowControl/>
        <w:jc w:val="both"/>
        <w:rPr/>
      </w:pPr>
      <w:r>
        <w:rPr/>
      </w:r>
    </w:p>
    <w:p>
      <w:pPr>
        <w:pStyle w:val="Normal"/>
        <w:widowControl/>
        <w:jc w:val="both"/>
        <w:rPr/>
      </w:pPr>
      <w:r>
        <w:rPr/>
      </w:r>
    </w:p>
    <w:p>
      <w:pPr>
        <w:pStyle w:val="Normal"/>
        <w:widowControl/>
        <w:ind w:firstLine="720" w:end="0"/>
        <w:jc w:val="both"/>
        <w:rPr/>
      </w:pPr>
      <w:r>
        <w:rPr/>
      </w:r>
    </w:p>
    <w:p>
      <w:pPr>
        <w:pStyle w:val="Normal"/>
        <w:widowControl/>
        <w:ind w:firstLine="4320" w:end="0"/>
        <w:jc w:val="both"/>
        <w:rPr/>
      </w:pPr>
      <w:r>
        <w:rPr/>
        <w:t>JDW</w:t>
      </w:r>
    </w:p>
    <w:p>
      <w:pPr>
        <w:pStyle w:val="Normal"/>
        <w:widowControl/>
        <w:ind w:start="4320" w:end="0"/>
        <w:jc w:val="both"/>
        <w:rPr/>
      </w:pPr>
      <w:r>
        <w:rPr/>
        <w:t>BRC</w:t>
      </w:r>
    </w:p>
    <w:p>
      <w:pPr>
        <w:pStyle w:val="Normal"/>
        <w:widowControl/>
        <w:ind w:firstLine="4320" w:end="0"/>
        <w:jc w:val="both"/>
        <w:rPr/>
      </w:pPr>
      <w:r>
        <w:rPr/>
        <w:t>AMS</w:t>
        <w:tab/>
        <w:tab/>
        <w:tab/>
        <w:tab/>
      </w:r>
    </w:p>
    <w:p>
      <w:pPr>
        <w:pStyle w:val="Normal"/>
        <w:widowControl/>
        <w:tabs>
          <w:tab w:val="clear" w:pos="720"/>
          <w:tab w:val="center" w:pos="4680" w:leader="none"/>
        </w:tabs>
        <w:jc w:val="both"/>
        <w:rPr/>
      </w:pPr>
      <w:r>
        <w:rPr/>
        <w:tab/>
      </w:r>
    </w:p>
    <w:sect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1999-10-11T15:32:00Z</dcterms:created>
  <dc:creator>Bracewell &amp; Patterson, LLP</dc:creator>
  <dc:description/>
  <dc:language>en-CA</dc:language>
  <cp:lastModifiedBy>Bracewell &amp; Patterson, LLP</cp:lastModifiedBy>
  <dcterms:modified xsi:type="dcterms:W3CDTF">1999-10-11T15:32:00Z</dcterms:modified>
  <cp:revision>2</cp:revision>
  <dc:subject/>
  <dc:title/>
</cp:coreProperties>
</file>