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March 8, 2002</w:t>
      </w:r>
    </w:p>
    <w:p>
      <w:pPr>
        <w:pStyle w:val="Normal"/>
        <w:rPr/>
      </w:pPr>
      <w:r>
        <w:rPr/>
      </w:r>
    </w:p>
    <w:p>
      <w:pPr>
        <w:pStyle w:val="Normal"/>
        <w:rPr/>
      </w:pPr>
      <w:r>
        <w:rPr/>
        <w:t>Mr. Ladd Lorenz</w:t>
      </w:r>
    </w:p>
    <w:p>
      <w:pPr>
        <w:pStyle w:val="Normal"/>
        <w:rPr/>
      </w:pPr>
      <w:r>
        <w:rPr/>
        <w:t>Southern California Gas Company</w:t>
      </w:r>
    </w:p>
    <w:p>
      <w:pPr>
        <w:pStyle w:val="Normal"/>
        <w:rPr/>
      </w:pPr>
      <w:r>
        <w:rPr/>
        <w:t>555 W. Fifth Street</w:t>
      </w:r>
    </w:p>
    <w:p>
      <w:pPr>
        <w:pStyle w:val="Normal"/>
        <w:rPr/>
      </w:pPr>
      <w:r>
        <w:rPr/>
        <w:t>Los Angeles, CA   90013-1011</w:t>
      </w:r>
    </w:p>
    <w:p>
      <w:pPr>
        <w:pStyle w:val="Normal"/>
        <w:rPr/>
      </w:pPr>
      <w:r>
        <w:rPr/>
      </w:r>
    </w:p>
    <w:p>
      <w:pPr>
        <w:pStyle w:val="Normal"/>
        <w:rPr/>
      </w:pPr>
      <w:r>
        <w:rPr/>
        <w:t>Dear Ladd,</w:t>
      </w:r>
    </w:p>
    <w:p>
      <w:pPr>
        <w:pStyle w:val="Normal"/>
        <w:rPr/>
      </w:pPr>
      <w:r>
        <w:rPr/>
      </w:r>
    </w:p>
    <w:p>
      <w:pPr>
        <w:pStyle w:val="Normal"/>
        <w:jc w:val="both"/>
        <w:rPr/>
      </w:pPr>
      <w:r>
        <w:rPr/>
        <w:t xml:space="preserve">Transwestern Pipeline Company (“Transwestern”) has for some time now requested of Southern California Gas Company (“SoCal”) to confirm Transwestern’s shippers’ gas at the SoCal Topock POI # 56697 point of interconnect on a </w:t>
      </w:r>
      <w:r>
        <w:rPr>
          <w:i/>
          <w:iCs/>
        </w:rPr>
        <w:t>secondary</w:t>
      </w:r>
      <w:r>
        <w:rPr/>
        <w:t xml:space="preserve"> (or alternate) delivery basis at times when the point is less than 100% utilized with shippers’ gas from the El Paso Natural Gas (“EPNG”) system.  Transwestern is frustrated by the fact that SoCal continues to deny to confirm gas at this point from Transwestern’s shippers and is very concerned about the loss of benefits to our customers and of our inability to serve these markets..  </w:t>
      </w:r>
    </w:p>
    <w:p>
      <w:pPr>
        <w:pStyle w:val="Normal"/>
        <w:jc w:val="both"/>
        <w:rPr/>
      </w:pPr>
      <w:r>
        <w:rPr/>
      </w:r>
    </w:p>
    <w:p>
      <w:pPr>
        <w:pStyle w:val="Normal"/>
        <w:jc w:val="both"/>
        <w:rPr/>
      </w:pPr>
      <w:r>
        <w:rPr/>
        <w:t xml:space="preserve">During conversations throughout the latter part of 2001, SoCal had indicated to Transwestern that it was only a matter of time before SoCal made the modifications to its IT systems in order accept Transwestern’s shippers’ gas at this point.  Several weeks ago Transwestern was told by SoCal that it would not accept any Transwestern gas at this point unless Transwestern’s shippers have fully utilized the capacity at the North Needles POI#10487 because it costs SoCal more to run the facilities at the Topock point than the North Needles point.  This impairs the ability of Transwestern’s shippers to fully and economically access the California market and is therefore unacceptable to Transwestern.  Ladd, two weeks ago you represented that SoCal would be willing to accept Transwestern’s shippers’ nominations at the SoCal Topock point </w:t>
      </w:r>
      <w:r>
        <w:rPr>
          <w:i/>
          <w:iCs/>
        </w:rPr>
        <w:t>after the 1</w:t>
      </w:r>
      <w:r>
        <w:rPr>
          <w:i/>
          <w:iCs/>
          <w:vertAlign w:val="superscript"/>
        </w:rPr>
        <w:t xml:space="preserve">st </w:t>
      </w:r>
      <w:r>
        <w:rPr>
          <w:i/>
          <w:iCs/>
        </w:rPr>
        <w:t>cycle</w:t>
      </w:r>
      <w:r>
        <w:rPr/>
        <w:t xml:space="preserve"> in the GISB gas day.  This week SoCal represented that it would not accept Transwestern’s shippers’ secondary nominations at this point until </w:t>
      </w:r>
      <w:r>
        <w:rPr>
          <w:i/>
          <w:iCs/>
        </w:rPr>
        <w:t>after the 3</w:t>
      </w:r>
      <w:r>
        <w:rPr>
          <w:i/>
          <w:iCs/>
          <w:vertAlign w:val="superscript"/>
        </w:rPr>
        <w:t>rd</w:t>
      </w:r>
      <w:r>
        <w:rPr>
          <w:i/>
          <w:iCs/>
        </w:rPr>
        <w:t xml:space="preserve"> cycle</w:t>
      </w:r>
      <w:r>
        <w:rPr/>
        <w:t xml:space="preserve"> in the GISB gas day.</w:t>
      </w:r>
    </w:p>
    <w:p>
      <w:pPr>
        <w:pStyle w:val="Normal"/>
        <w:jc w:val="both"/>
        <w:rPr/>
      </w:pPr>
      <w:r>
        <w:rPr/>
      </w:r>
    </w:p>
    <w:p>
      <w:pPr>
        <w:pStyle w:val="Normal"/>
        <w:jc w:val="both"/>
        <w:rPr/>
      </w:pPr>
      <w:r>
        <w:rPr/>
        <w:t xml:space="preserve">In this scenario, on a practical basis, </w:t>
      </w:r>
      <w:r>
        <w:rPr>
          <w:i/>
          <w:iCs/>
        </w:rPr>
        <w:t>if</w:t>
      </w:r>
      <w:r>
        <w:rPr/>
        <w:t xml:space="preserve"> the gas gets scheduled and confirmed it would be 11 hours into the gas day before any secondary gas could flow; thereby, of little to no use to Transwestern’s shippers.  Transwestern understands that under EPNG’s allocation procedures primary gas is allowed to bump secondary gas through the first 2 GISB cycles and if any capacity is still available at the beginning of the 3</w:t>
      </w:r>
      <w:r>
        <w:rPr>
          <w:vertAlign w:val="superscript"/>
        </w:rPr>
        <w:t>rd</w:t>
      </w:r>
      <w:r>
        <w:rPr/>
        <w:t xml:space="preserve"> cycle it is then scheduled by EPNG and confirmed by SoCal.  In order for secondary gas from both Transwestern and EPNG to be treated in the same manner, Transwestern requests that SoCal immediately begin to accept Transwestern’s shippers’ secondary nominations at the SoCal Topock point in the same manner it currently accepts secondary nominations from EPNG’s shippers.  </w:t>
      </w:r>
    </w:p>
    <w:p>
      <w:pPr>
        <w:pStyle w:val="Normal"/>
        <w:jc w:val="both"/>
        <w:rPr/>
      </w:pPr>
      <w:r>
        <w:rPr/>
      </w:r>
    </w:p>
    <w:p>
      <w:pPr>
        <w:pStyle w:val="Normal"/>
        <w:jc w:val="both"/>
        <w:rPr/>
      </w:pPr>
      <w:r>
        <w:rPr/>
      </w:r>
    </w:p>
    <w:p>
      <w:pPr>
        <w:pStyle w:val="Normal"/>
        <w:jc w:val="both"/>
        <w:rPr>
          <w:u w:val="single"/>
        </w:rPr>
      </w:pPr>
      <w:r>
        <w:rPr>
          <w:u w:val="single"/>
        </w:rPr>
        <w:t>Incremental 50,000 MMBtu/d at TW/SoCal Needles (POI#10487)</w:t>
      </w:r>
    </w:p>
    <w:p>
      <w:pPr>
        <w:pStyle w:val="Normal"/>
        <w:jc w:val="both"/>
        <w:rPr/>
      </w:pPr>
      <w:r>
        <w:rPr/>
        <w:t>Secondly, it is unacceptable to Transwestern that SoCal has indicated that at the time of the in-service date of Southern Trails Pipeline Company (“Southern Trails”), Socal will divide to incremental capacity of 50,000 MMBtu/d at SoCal Needles (POI # 10487) between Transwestern and Southern Trails.  Based on earlier representations made by SoCal (both verbally and in written testimony before the CPUC) Transwestern has sold capacity up to 800,000 MMBtu/d to its shippers on a firm, primary basis.  SoCal has recently told Transwestern that subsequent to these representations, it reached an agreement with Southern Trails to dedicate 25,000 MMBtu/d at the SoCal Needles point to Southern Trails’ shippers.</w:t>
      </w:r>
    </w:p>
    <w:p>
      <w:pPr>
        <w:pStyle w:val="Normal"/>
        <w:jc w:val="both"/>
        <w:rPr/>
      </w:pPr>
      <w:r>
        <w:rPr/>
      </w:r>
    </w:p>
    <w:p>
      <w:pPr>
        <w:pStyle w:val="Normal"/>
        <w:jc w:val="both"/>
        <w:rPr/>
      </w:pPr>
      <w:r>
        <w:rPr/>
        <w:t xml:space="preserve">We understand that once the Comprehensive Settlement Agreement is implemented under the Gas Industry Restructuring on SoCal’s system (currently proposed to be November 1, 2002), that a shipper will designate which upstream pipeline’s gas will be confirmed into SoCal’s system on a firm, primary basis.  But in the interim (between the time the 50,000 MMBtu incremental capacity is placed in-service until November 1, 2002 or the implemenation of the GIR), Transwestern requests SoCal fulfill its commitment to Transwestern and dedicate the incremental 50,000 MMBtu to Transwestern at SoCal Needles. </w:t>
      </w:r>
    </w:p>
    <w:p>
      <w:pPr>
        <w:pStyle w:val="Normal"/>
        <w:jc w:val="both"/>
        <w:rPr/>
      </w:pPr>
      <w:r>
        <w:rPr/>
      </w:r>
    </w:p>
    <w:p>
      <w:pPr>
        <w:pStyle w:val="Normal"/>
        <w:jc w:val="both"/>
        <w:rPr/>
      </w:pPr>
      <w:r>
        <w:rPr/>
        <w:t xml:space="preserve">Transwestern hopes that SoCal, as the agent for change in these issues, will work diligently to resolve these issues so that all of our customers may take advantage of the </w:t>
      </w:r>
    </w:p>
    <w:p>
      <w:pPr>
        <w:pStyle w:val="Normal"/>
        <w:jc w:val="both"/>
        <w:rPr/>
      </w:pPr>
      <w:r>
        <w:rPr/>
      </w:r>
    </w:p>
    <w:p>
      <w:pPr>
        <w:pStyle w:val="Normal"/>
        <w:rPr/>
      </w:pPr>
      <w:r>
        <w:rPr/>
        <w:t>Sincerely yours,</w:t>
      </w:r>
    </w:p>
    <w:p>
      <w:pPr>
        <w:pStyle w:val="Normal"/>
        <w:rPr/>
      </w:pPr>
      <w:r>
        <w:rPr/>
      </w:r>
    </w:p>
    <w:p>
      <w:pPr>
        <w:pStyle w:val="Normal"/>
        <w:rPr/>
      </w:pPr>
      <w:r>
        <w:rPr/>
      </w:r>
    </w:p>
    <w:p>
      <w:pPr>
        <w:pStyle w:val="Normal"/>
        <w:rPr/>
      </w:pPr>
      <w:r>
        <w:rPr/>
      </w:r>
    </w:p>
    <w:p>
      <w:pPr>
        <w:pStyle w:val="Normal"/>
        <w:rPr/>
      </w:pPr>
      <w:r>
        <w:rPr/>
      </w:r>
    </w:p>
    <w:p>
      <w:pPr>
        <w:pStyle w:val="Normal"/>
        <w:rPr/>
      </w:pPr>
      <w:r>
        <w:rPr/>
        <w:t>Steven M. Harris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2002-02-25T13:36:00Z</dcterms:created>
  <dc:creator>llindbe</dc:creator>
  <dc:description/>
  <dc:language>en-CA</dc:language>
  <cp:lastModifiedBy>llindbe</cp:lastModifiedBy>
  <cp:lastPrinted>2002-03-07T17:04:00Z</cp:lastPrinted>
  <dcterms:modified xsi:type="dcterms:W3CDTF">2002-03-07T20:44:00Z</dcterms:modified>
  <cp:revision>7</cp:revision>
  <dc:subject/>
  <dc:title>February 22, 2002</dc:title>
</cp:coreProperties>
</file>