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June 13, 2001</w:t>
      </w:r>
    </w:p>
    <w:p>
      <w:pPr>
        <w:pStyle w:val="Heading1"/>
        <w:ind w:hanging="0" w:start="0"/>
        <w:rPr/>
      </w:pPr>
      <w:r>
        <w:rPr/>
      </w:r>
    </w:p>
    <w:p>
      <w:pPr>
        <w:pStyle w:val="Heading1"/>
        <w:ind w:hanging="0" w:start="0"/>
        <w:rPr/>
      </w:pPr>
      <w:r>
        <w:rPr/>
      </w:r>
    </w:p>
    <w:p>
      <w:pPr>
        <w:pStyle w:val="Heading1"/>
        <w:ind w:hanging="0" w:start="0"/>
        <w:rPr/>
      </w:pPr>
      <w:r>
        <w:rPr/>
        <w:t>To: All Transwestern Shippers / Operators</w:t>
      </w:r>
    </w:p>
    <w:p>
      <w:pPr>
        <w:pStyle w:val="Heading1"/>
        <w:ind w:hanging="0" w:start="0"/>
        <w:rPr/>
      </w:pPr>
      <w:r>
        <w:rPr/>
      </w:r>
    </w:p>
    <w:p>
      <w:pPr>
        <w:pStyle w:val="Heading1"/>
        <w:ind w:hanging="0" w:start="0"/>
        <w:rPr/>
      </w:pPr>
      <w:r>
        <w:rPr/>
        <w:t>Re:  Socal Capacity (WINDOW) Allocation</w:t>
      </w:r>
    </w:p>
    <w:p>
      <w:pPr>
        <w:pStyle w:val="Normal"/>
        <w:rPr>
          <w:sz w:val="24"/>
        </w:rPr>
      </w:pPr>
      <w:r>
        <w:rPr>
          <w:sz w:val="24"/>
        </w:rPr>
      </w:r>
    </w:p>
    <w:p>
      <w:pPr>
        <w:pStyle w:val="Normal"/>
        <w:rPr>
          <w:sz w:val="24"/>
        </w:rPr>
      </w:pPr>
      <w:r>
        <w:rPr>
          <w:sz w:val="24"/>
        </w:rPr>
      </w:r>
    </w:p>
    <w:p>
      <w:pPr>
        <w:pStyle w:val="Normal"/>
        <w:rPr>
          <w:sz w:val="24"/>
        </w:rPr>
      </w:pPr>
      <w:r>
        <w:rPr>
          <w:sz w:val="24"/>
        </w:rPr>
        <w:t>Please be advised that beginning gas day, Friday June 15, 2001, SoCalGas has notified Transwestern that it will reset its SoCalGas capacity (window) for each cycle except for the Intraday 2 cycle.   The SoCalGas interconnect capacity (window) may fluctuate up or down.   Accordingly, Transwestern will allocate at each such cycle per its tariff to match the SoCalGas window.  The tariff prescribes a prorata allocation across all Primary Firm and Secondary Firm contracts after all interruptible gas has been cut.  Transwestern’s allocations will support the GISB EPSQ calculation on the intraday cycles.</w:t>
      </w:r>
    </w:p>
    <w:p>
      <w:pPr>
        <w:pStyle w:val="Normal"/>
        <w:rPr>
          <w:sz w:val="24"/>
        </w:rPr>
      </w:pPr>
      <w:r>
        <w:rPr>
          <w:sz w:val="24"/>
        </w:rPr>
      </w:r>
    </w:p>
    <w:p>
      <w:pPr>
        <w:pStyle w:val="Normal"/>
        <w:rPr>
          <w:sz w:val="24"/>
        </w:rPr>
      </w:pPr>
      <w:r>
        <w:rPr>
          <w:sz w:val="24"/>
        </w:rPr>
        <w:t>Up to this time, the SoCalGas window has been set during the timely cycle.  Per SoCalGas, changes in market condition, untimely and unreliable information from the Independent System Operator and changes in the demand forecast from one cycle to the next, SoCalGas finds it impossible to continue with the previous policy.</w:t>
      </w:r>
    </w:p>
    <w:p>
      <w:pPr>
        <w:pStyle w:val="Normal"/>
        <w:rPr>
          <w:sz w:val="24"/>
        </w:rPr>
      </w:pPr>
      <w:r>
        <w:rPr>
          <w:sz w:val="24"/>
        </w:rPr>
      </w:r>
    </w:p>
    <w:p>
      <w:pPr>
        <w:pStyle w:val="Normal"/>
        <w:rPr>
          <w:sz w:val="24"/>
        </w:rPr>
      </w:pPr>
      <w:r>
        <w:rPr>
          <w:sz w:val="24"/>
        </w:rPr>
        <w:t>If you have any questions or concerns, please contract your Transwestern Customer Service Representative.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socal_061301.doc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2001-06-13T19:34:00Z</dcterms:created>
  <dc:creator>Lynn Blair</dc:creator>
  <dc:description/>
  <dc:language>en-CA</dc:language>
  <cp:lastModifiedBy>tkuehl</cp:lastModifiedBy>
  <cp:lastPrinted>2001-06-13T17:06:00Z</cp:lastPrinted>
  <dcterms:modified xsi:type="dcterms:W3CDTF">2001-06-13T19:39:00Z</dcterms:modified>
  <cp:revision>7</cp:revision>
  <dc:subject/>
  <dc:title>SOCAL CAPACITY (WINDOW) ALLOCATION</dc:title>
</cp:coreProperties>
</file>