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xlsx" ContentType="application/vnd.openxmlformats-officedocument.spreadsheetml.shee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Vince Kaminski</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Grant Masson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Research - RAC</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Snake River spreadsheet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Department"/>
        <w:rPr/>
      </w:pPr>
      <w:r>
        <w:rPr/>
        <w:t>As requested, I have examined the Snake River spreadsheet for its technical accuracy.</w:t>
      </w:r>
    </w:p>
    <w:p>
      <w:pPr>
        <w:pStyle w:val="Department"/>
        <w:rPr/>
      </w:pPr>
      <w:r>
        <w:rPr/>
      </w:r>
    </w:p>
    <w:p>
      <w:pPr>
        <w:pStyle w:val="Department"/>
        <w:rPr/>
      </w:pPr>
      <w:r>
        <w:rPr/>
        <w:t>While this spreadsheet borrows elements of style from other spreadsheets that I have built for Structuring, I am not its author, nor I do I recall being asked to review it in detail.</w:t>
      </w:r>
    </w:p>
    <w:p>
      <w:pPr>
        <w:pStyle w:val="Department"/>
        <w:rPr/>
      </w:pPr>
      <w:r>
        <w:rPr/>
      </w:r>
    </w:p>
    <w:p>
      <w:pPr>
        <w:pStyle w:val="Department"/>
        <w:rPr/>
      </w:pPr>
      <w:r>
        <w:rPr/>
        <w:t>Comments on inputs into the compound option pricer:</w:t>
      </w:r>
    </w:p>
    <w:p>
      <w:pPr>
        <w:pStyle w:val="Department"/>
        <w:rPr/>
      </w:pPr>
      <w:r>
        <w:rPr/>
      </w:r>
    </w:p>
    <w:p>
      <w:pPr>
        <w:pStyle w:val="Department"/>
        <w:rPr/>
      </w:pPr>
      <w:r>
        <w:rPr>
          <w:b/>
        </w:rPr>
        <w:t>Underlying power price:</w:t>
      </w:r>
      <w:r>
        <w:rPr/>
        <w:t xml:space="preserve">  Uses a blended value derived from Mid-C peak and off-peak prices</w:t>
      </w:r>
    </w:p>
    <w:p>
      <w:pPr>
        <w:pStyle w:val="Department"/>
        <w:rPr/>
      </w:pPr>
      <w:r>
        <w:rPr>
          <w:rFonts w:eastAsia="Arial"/>
        </w:rPr>
        <w:t xml:space="preserve"> </w:t>
      </w:r>
      <w:r>
        <w:rPr/>
        <w:t>(PeakPrice*Scaler1*pkHR + OffPeakPrice*opHR)/(pkHR+opHR)</w:t>
      </w:r>
    </w:p>
    <w:p>
      <w:pPr>
        <w:pStyle w:val="Department"/>
        <w:rPr/>
      </w:pPr>
      <w:r>
        <w:rPr/>
        <w:t xml:space="preserve">where </w:t>
      </w:r>
    </w:p>
    <w:p>
      <w:pPr>
        <w:pStyle w:val="Department"/>
        <w:rPr/>
      </w:pPr>
      <w:r>
        <w:rPr/>
        <w:t>pkHR = 0.6*number of peak hours in a month (this is the assumed take),</w:t>
      </w:r>
    </w:p>
    <w:p>
      <w:pPr>
        <w:pStyle w:val="Department"/>
        <w:rPr/>
      </w:pPr>
      <w:r>
        <w:rPr/>
        <w:t>opHR = 0.6*number of off peak hours in a month,</w:t>
      </w:r>
    </w:p>
    <w:p>
      <w:pPr>
        <w:pStyle w:val="Department"/>
        <w:rPr/>
      </w:pPr>
      <w:r>
        <w:rPr/>
        <w:t>and Scaler1 is a hard wired number that is “60% least expensive scaler” (around 0.85).</w:t>
      </w:r>
    </w:p>
    <w:p>
      <w:pPr>
        <w:pStyle w:val="Department"/>
        <w:rPr/>
      </w:pPr>
      <w:r>
        <w:rPr/>
        <w:t>This equation is presumably derived from the anticipated off-take behavior of the counterparty, but I must admit, it is a bit bizarre.</w:t>
      </w:r>
    </w:p>
    <w:p>
      <w:pPr>
        <w:pStyle w:val="Department"/>
        <w:rPr/>
      </w:pPr>
      <w:r>
        <w:rPr/>
      </w:r>
    </w:p>
    <w:p>
      <w:pPr>
        <w:pStyle w:val="Department"/>
        <w:rPr/>
      </w:pPr>
      <w:r>
        <w:rPr>
          <w:b/>
        </w:rPr>
        <w:t>Underlying strike price:</w:t>
      </w:r>
      <w:r>
        <w:rPr/>
        <w:t xml:space="preserve">  hardwired.  Starts at 25.13 and escalates at 5% yearly.</w:t>
      </w:r>
    </w:p>
    <w:p>
      <w:pPr>
        <w:pStyle w:val="Department"/>
        <w:rPr/>
      </w:pPr>
      <w:r>
        <w:rPr/>
      </w:r>
    </w:p>
    <w:p>
      <w:pPr>
        <w:pStyle w:val="Department"/>
        <w:rPr/>
      </w:pPr>
      <w:r>
        <w:rPr>
          <w:b/>
        </w:rPr>
        <w:t>Overlying strike price:</w:t>
      </w:r>
      <w:r>
        <w:rPr/>
        <w:t xml:space="preserve"> monthly demand charge / nominal MWh.  Ok so long as demand charge is paid at overlying strike date.  If not, then needs to be discounted.</w:t>
      </w:r>
    </w:p>
    <w:p>
      <w:pPr>
        <w:pStyle w:val="Department"/>
        <w:rPr/>
      </w:pPr>
      <w:r>
        <w:rPr/>
      </w:r>
    </w:p>
    <w:p>
      <w:pPr>
        <w:pStyle w:val="Department"/>
        <w:rPr/>
      </w:pPr>
      <w:r>
        <w:rPr>
          <w:b/>
        </w:rPr>
        <w:t xml:space="preserve">Nominal MWh: </w:t>
      </w:r>
      <w:r>
        <w:rPr/>
        <w:t xml:space="preserve"> 60% of all hours in a month * max. demand (e.g. 50MW)</w:t>
      </w:r>
    </w:p>
    <w:p>
      <w:pPr>
        <w:pStyle w:val="Department"/>
        <w:rPr/>
      </w:pPr>
      <w:r>
        <w:rPr/>
      </w:r>
    </w:p>
    <w:p>
      <w:pPr>
        <w:pStyle w:val="Department"/>
        <w:rPr/>
      </w:pPr>
      <w:r>
        <w:rPr>
          <w:b/>
        </w:rPr>
        <w:t>Time to Expiration: Overlying, Underlying:</w:t>
      </w:r>
      <w:r>
        <w:rPr/>
        <w:t xml:space="preserve"> OK</w:t>
      </w:r>
    </w:p>
    <w:p>
      <w:pPr>
        <w:pStyle w:val="Department"/>
        <w:rPr/>
      </w:pPr>
      <w:r>
        <w:rPr/>
      </w:r>
    </w:p>
    <w:p>
      <w:pPr>
        <w:pStyle w:val="Department"/>
        <w:rPr/>
      </w:pPr>
      <w:r>
        <w:rPr>
          <w:b/>
        </w:rPr>
        <w:t>Option Volatility and Forward Volatility:</w:t>
      </w:r>
      <w:r>
        <w:rPr/>
        <w:t xml:space="preserve"> both use annual peak vol. presently 15%.  This will cause problems as 2001 rolls around, because the monthly volatility curve will not be used for the front months.</w:t>
      </w:r>
    </w:p>
    <w:p>
      <w:pPr>
        <w:pStyle w:val="Department"/>
        <w:rPr/>
      </w:pPr>
      <w:r>
        <w:rPr/>
      </w:r>
    </w:p>
    <w:p>
      <w:pPr>
        <w:pStyle w:val="Department"/>
        <w:rPr/>
      </w:pPr>
      <w:r>
        <w:rPr>
          <w:b/>
        </w:rPr>
        <w:t>Interest rate and Yield:</w:t>
      </w:r>
      <w:r>
        <w:rPr/>
        <w:t xml:space="preserve"> Ok. Uses INTNS AA curve.  Around 5.5% escalating</w:t>
      </w:r>
    </w:p>
    <w:p>
      <w:pPr>
        <w:pStyle w:val="Department"/>
        <w:rPr/>
      </w:pPr>
      <w:r>
        <w:rPr/>
      </w:r>
    </w:p>
    <w:p>
      <w:pPr>
        <w:pStyle w:val="Department"/>
        <w:rPr/>
      </w:pPr>
      <w:r>
        <w:rPr/>
        <w:t xml:space="preserve">I coded the function tbCmpdv at the request of Todd Busby.  It is minor variation of the compound option that was coded by Stinson years ago and exists in the standard Exotica library.  The standard compound option uses continuous compounding.  I altered it to use semi-annual compounding and to allow the user to input different times for the option and discount parts of the option value.  These changes were made to allow Todd to break out the Enron defined “Theta” and “Drift” P&amp;L risk buckets.  While it is possible to tease these two terms out of european option risk buckets using some spreadsheet math tricks, it is impossible in the case of a compound option because of its complicated inherent dependence on two strike dates. </w:t>
      </w:r>
    </w:p>
    <w:p>
      <w:pPr>
        <w:pStyle w:val="Department"/>
        <w:rPr/>
      </w:pPr>
      <w:r>
        <w:rPr/>
      </w:r>
    </w:p>
    <w:p>
      <w:pPr>
        <w:pStyle w:val="Department"/>
        <w:rPr/>
      </w:pPr>
      <w:r>
        <w:rPr/>
        <w:t>I checked the accuracy of tbCmpdv against the Exotica library Cmpdv function.  The results are attached.  Any differences between the two values are due entirely to semi-annual versus continuous discounting.  As expected, the results become identical if interest rates are set to zero.</w:t>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b/>
        </w:rPr>
      </w:pPr>
      <w:r>
        <w:rPr>
          <w:b/>
        </w:rPr>
        <w:t>Risk buckets:</w:t>
      </w:r>
    </w:p>
    <w:p>
      <w:pPr>
        <w:pStyle w:val="Department"/>
        <w:rPr/>
      </w:pPr>
      <w:r>
        <w:rPr/>
        <w:t xml:space="preserve">I checked the calculation of the </w:t>
      </w:r>
      <w:r>
        <w:rPr>
          <w:i/>
        </w:rPr>
        <w:t>curve shift</w:t>
      </w:r>
      <w:r>
        <w:rPr/>
        <w:t xml:space="preserve"> risk bucket.  It uses the standard finite differences method: the compound option value is calculated using the Price curve from today but all other inputs from yesterday. This value is then subtracted from yesterday’s option value and the difference attributed to curve shift.  The spreadsheet cells all seem to be hooked up correctly.  Of course, I cannot comment on how the spreadsheet was used on a day to day basis and whether the appropriate price curves were correctly imported.</w:t>
      </w:r>
    </w:p>
    <w:p>
      <w:pPr>
        <w:pStyle w:val="Department"/>
        <w:rPr/>
      </w:pPr>
      <w:r>
        <w:rPr/>
      </w:r>
    </w:p>
    <w:p>
      <w:pPr>
        <w:pStyle w:val="Department"/>
        <w:rPr/>
      </w:pPr>
      <w:r>
        <w:rPr/>
        <w:t>I only checked the curve shift calculation.  If you want, I will review the other risk bucket calculations as well.</w:t>
      </w:r>
    </w:p>
    <w:p>
      <w:pPr>
        <w:pStyle w:val="Department"/>
        <w:rPr/>
      </w:pPr>
      <w:r>
        <w:rPr/>
      </w:r>
    </w:p>
    <w:p>
      <w:pPr>
        <w:pStyle w:val="Department"/>
        <w:rPr/>
      </w:pPr>
      <w:r>
        <w:rPr/>
      </w:r>
    </w:p>
    <w:p>
      <w:pPr>
        <w:pStyle w:val="Department"/>
        <w:rPr>
          <w:b/>
        </w:rPr>
      </w:pPr>
      <w:r>
        <w:rPr>
          <w:b/>
        </w:rPr>
        <w:t>Conclusion:</w:t>
      </w:r>
    </w:p>
    <w:p>
      <w:pPr>
        <w:pStyle w:val="Department"/>
        <w:rPr/>
      </w:pPr>
      <w:r>
        <w:rPr/>
        <w:t xml:space="preserve">The spreadsheet apparently does correctly calculate the value of a strip of puts on calls.  As we’ve discussed however, the real issue is whether this is an accurate description of the deal and whether the input assumptions are reasonable. </w:t>
      </w:r>
    </w:p>
    <w:p>
      <w:pPr>
        <w:pStyle w:val="Department"/>
        <w:rPr/>
      </w:pPr>
      <w:r>
        <w:rPr/>
        <w:t>I can recall talking to originators (I think it was the James River deal) about the regulatory risks, and that the deal value should be weighted by the probability that the necessary regulatory changes would actual come to pass.  Back then, the response was, predictably, “Oh we’ll have retail access by 2000”.</w:t>
      </w:r>
    </w:p>
    <w:p>
      <w:pPr>
        <w:pStyle w:val="Department"/>
        <w:rPr/>
      </w:pPr>
      <w:r>
        <w:rPr/>
      </w:r>
    </w:p>
    <w:p>
      <w:pPr>
        <w:pStyle w:val="Department"/>
        <w:rPr/>
      </w:pPr>
      <w:r>
        <w:rPr/>
        <w:t>I remain suspicious of the comment that the deltas don’t move.  It is true that the compound delta is small; on the order of -0.15, which is correct.  After all,  if you calculate the underlying option using the given inputs, you get a premium of about $0.75.  That should be compared to the npv of the overlying strike price, which is around $4.50.  Power prices would have to be increased about $9.00/MWh to get an underlying option value on par with the overlying strike price.  In fact you would have to increase the peak price curve even more because of the peak and off-peak blending noted above. In other words, the effective peak price delta is probably  around –0.07.  Nevertheless,  there should be at least some curve shift observed every time the price curve is moved.  If not, then there is something in the spreadsheet that I’ve missed.</w:t>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object w:dxaOrig="10359" w:dyaOrig="882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36.5pt;height:450.95pt" filled="f" o:ole="">
            <v:imagedata r:id="rId4" o:title=""/>
          </v:shape>
          <o:OLEObject Type="Embed" ProgID="Excel.Sheet.12" ShapeID="ole_rId3" DrawAspect="Content" ObjectID="_1870743643" r:id="rId3"/>
        </w:object>
      </w:r>
    </w:p>
    <w:sectPr>
      <w:headerReference w:type="default" r:id="rId5"/>
      <w:headerReference w:type="first" r:id="rId6"/>
      <w:footerReference w:type="default" r:id="rId7"/>
      <w:footerReference w:type="first" r:id="rId8"/>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1999-03-19T18:10:00Z</dcterms:created>
  <dc:creator>Jeff Ford</dc:creator>
  <dc:description/>
  <dc:language>en-CA</dc:language>
  <cp:lastModifiedBy>Grant Masson</cp:lastModifiedBy>
  <cp:lastPrinted>1999-03-19T14:40:00Z</cp:lastPrinted>
  <dcterms:modified xsi:type="dcterms:W3CDTF">1999-03-19T18:10:00Z</dcterms:modified>
  <cp:revision>3</cp:revision>
  <dc:subject>Snake River spreadsheet</dc:subject>
  <dc:title>Eron Capital &amp; Trade Resources Memo</dc:title>
</cp:coreProperties>
</file>