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September 19,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October 1, 2001 through October 31, 2001.</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5"/>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5"/>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5"/>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numPr>
          <w:ilvl w:val="0"/>
          <w:numId w:val="3"/>
        </w:numPr>
        <w:tabs>
          <w:tab w:val="clear" w:pos="720"/>
          <w:tab w:val="left" w:pos="1440" w:leader="none"/>
        </w:tabs>
        <w:jc w:val="both"/>
        <w:rPr>
          <w:i w:val="false"/>
          <w:i w:val="false"/>
          <w:sz w:val="20"/>
        </w:rPr>
      </w:pPr>
      <w:r>
        <w:rPr>
          <w:i w:val="false"/>
          <w:sz w:val="20"/>
        </w:rPr>
        <w:t>In the event Buyer’s usage deviates by more than twenty percent (20%) from the BDQ on any Day, such excess deviation shall result in a Buyer’s Default, however, Buyer may reduce this gas demand to 40% of its average demand during the Natural Gas Market’s winter months (November to March) and the month of April.  In the event of a Buyer’s Default, the Buyer’s Default Quantity shall be equal to the difference between the Buyer’s estimated daily BDQ or, if estimated BDQ was not given, the previous months-average daily usage and the Buyer’s actual daily usage on the Day such Buyer’s Default occurred.</w:t>
      </w:r>
    </w:p>
    <w:p>
      <w:pPr>
        <w:pStyle w:val="BodyTextIndent3"/>
        <w:numPr>
          <w:ilvl w:val="0"/>
          <w:numId w:val="3"/>
        </w:numPr>
        <w:tabs>
          <w:tab w:val="clear" w:pos="720"/>
          <w:tab w:val="left" w:pos="1440" w:leader="none"/>
        </w:tabs>
        <w:jc w:val="both"/>
        <w:rPr>
          <w:i w:val="false"/>
          <w:i w:val="false"/>
          <w:sz w:val="20"/>
        </w:rPr>
      </w:pPr>
      <w:r>
        <w:rPr>
          <w:i w:val="false"/>
          <w:sz w:val="20"/>
        </w:rPr>
        <w:t>Buyer will notify Seller seven business days before the beginning of the month with its intention to reduce its gas demand.  In such event the BDQ shall be adjusted to equal the quantity contained in Buyer’s notice for such reduction period.</w:t>
      </w:r>
    </w:p>
    <w:p>
      <w:pPr>
        <w:pStyle w:val="BodyTextIndent3"/>
        <w:numPr>
          <w:ilvl w:val="0"/>
          <w:numId w:val="3"/>
        </w:numPr>
        <w:tabs>
          <w:tab w:val="clear" w:pos="720"/>
          <w:tab w:val="left" w:pos="1440" w:leader="none"/>
        </w:tabs>
        <w:jc w:val="both"/>
        <w:rPr>
          <w:i w:val="false"/>
          <w:i w:val="false"/>
          <w:sz w:val="20"/>
        </w:rPr>
      </w:pPr>
      <w:r>
        <w:rPr>
          <w:i w:val="false"/>
          <w:sz w:val="20"/>
        </w:rPr>
        <w:t>Notification shall be by telephone call on Seller’s recorded line noting the date and time of such call.</w:t>
      </w:r>
    </w:p>
    <w:p>
      <w:pPr>
        <w:pStyle w:val="BodyTextIndent3"/>
        <w:numPr>
          <w:ilvl w:val="0"/>
          <w:numId w:val="3"/>
        </w:numPr>
        <w:tabs>
          <w:tab w:val="clear" w:pos="720"/>
          <w:tab w:val="left" w:pos="1440" w:leader="none"/>
        </w:tabs>
        <w:jc w:val="both"/>
        <w:rPr>
          <w:i w:val="false"/>
          <w:i w:val="false"/>
          <w:sz w:val="20"/>
        </w:rPr>
      </w:pPr>
      <w:r>
        <w:rPr>
          <w:i w:val="false"/>
          <w:sz w:val="20"/>
        </w:rPr>
        <w:t xml:space="preserve">In the event of a Default Quantity, Buyer shall pay to Seller an amount equal to the sum of the product of the Default Quantity multiplied by the positive difference, if any, obtained by subtracting the Spot Price for the day in which the Default Quantity occurred from the Contract Price.  The Spot Price shall be the daily price as quoted in Financial Times Energy’s </w:t>
      </w:r>
      <w:r>
        <w:rPr>
          <w:i w:val="false"/>
          <w:sz w:val="20"/>
          <w:u w:val="single"/>
        </w:rPr>
        <w:t>Gas Daily</w:t>
      </w:r>
      <w:r>
        <w:rPr>
          <w:i w:val="false"/>
          <w:sz w:val="20"/>
        </w:rPr>
        <w:t xml:space="preserve"> in the “Daily Price Survey” under the heading “Others,” titled “SoCal gas, large pkgs.” Mid-point column. </w:t>
      </w:r>
      <w:r>
        <w:rPr>
          <w:b/>
          <w:i w:val="false"/>
          <w:sz w:val="20"/>
        </w:rPr>
        <w:t>Note</w:t>
      </w:r>
      <w:r>
        <w:rPr>
          <w:i w:val="false"/>
          <w:sz w:val="20"/>
        </w:rPr>
        <w:t>: the Monday price quote is for Saturday, Sunday, and Monday.</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6"/>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6"/>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6"/>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6"/>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6"/>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6"/>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6"/>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6"/>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four cents ($0.04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t>By:________________________</w:t>
        <w:tab/>
        <w:tab/>
        <w:t>By: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/mnt/main-storage/datasets/enron-docs/doc/smurfit_9_01_Oct_Del_Date.doc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/mnt/main-storage/datasets/enron-docs/doc/smurfit_9_01_Oct_Del_Date.doc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September 19,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84279"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lowerLetter"/>
      <w:lvlText w:val="%1."/>
      <w:lvlJc w:val="start"/>
      <w:pPr>
        <w:tabs>
          <w:tab w:val="num" w:pos="2160"/>
        </w:tabs>
        <w:ind w:start="216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decimal"/>
      <w:lvlText w:val="%1."/>
      <w:lvlJc w:val="start"/>
      <w:pPr>
        <w:tabs>
          <w:tab w:val="num" w:pos="1800"/>
        </w:tabs>
        <w:ind w:start="1800" w:hanging="360"/>
      </w:pPr>
      <w:rPr/>
    </w:lvl>
  </w:abstractNum>
  <w:abstractNum w:abstractNumId="6">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2001-09-19T17:43:00Z</dcterms:created>
  <dc:creator>ECT</dc:creator>
  <dc:description/>
  <dc:language>en-CA</dc:language>
  <cp:lastModifiedBy>Theresa Zucha</cp:lastModifiedBy>
  <cp:lastPrinted>2001-09-19T15:13:00Z</cp:lastPrinted>
  <dcterms:modified xsi:type="dcterms:W3CDTF">2001-09-19T17:43:00Z</dcterms:modified>
  <cp:revision>2</cp:revision>
  <dc:subject/>
  <dc:title>Services Agreement</dc:title>
</cp:coreProperties>
</file>