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Arial" w:hAnsi="Arial" w:cs="Arial"/>
          <w:sz w:val="24"/>
        </w:rPr>
      </w:pPr>
      <w:r>
        <w:rPr>
          <w:rFonts w:cs="Arial" w:ascii="Arial" w:hAnsi="Arial"/>
          <w:sz w:val="24"/>
        </w:rPr>
        <w:t>UNITED STATES OF AMERICA</w:t>
      </w:r>
    </w:p>
    <w:p>
      <w:pPr>
        <w:pStyle w:val="Normal"/>
        <w:jc w:val="center"/>
        <w:rPr>
          <w:rFonts w:ascii="Arial" w:hAnsi="Arial" w:cs="Arial"/>
          <w:b/>
        </w:rPr>
      </w:pPr>
      <w:r>
        <w:rPr>
          <w:rFonts w:cs="Arial" w:ascii="Arial" w:hAnsi="Arial"/>
          <w:b/>
        </w:rPr>
        <w:t>BEFORE THE</w:t>
      </w:r>
    </w:p>
    <w:p>
      <w:pPr>
        <w:pStyle w:val="Normal"/>
        <w:jc w:val="center"/>
        <w:rPr>
          <w:rFonts w:ascii="Arial" w:hAnsi="Arial" w:cs="Arial"/>
          <w:b/>
        </w:rPr>
      </w:pPr>
      <w:r>
        <w:rPr>
          <w:rFonts w:cs="Arial" w:ascii="Arial" w:hAnsi="Arial"/>
          <w:b/>
        </w:rPr>
        <w:t>FEDERAL ENERGY REGULATORY COMMISSION</w:t>
      </w:r>
    </w:p>
    <w:p>
      <w:pPr>
        <w:pStyle w:val="Normal"/>
        <w:rPr>
          <w:rFonts w:ascii="Arial" w:hAnsi="Arial" w:cs="Arial"/>
          <w:b/>
        </w:rPr>
      </w:pPr>
      <w:r>
        <w:rPr>
          <w:rFonts w:cs="Arial" w:ascii="Arial" w:hAnsi="Arial"/>
          <w:b/>
        </w:rPr>
      </w:r>
    </w:p>
    <w:p>
      <w:pPr>
        <w:pStyle w:val="Normal"/>
        <w:rPr>
          <w:rFonts w:ascii="Arial" w:hAnsi="Arial" w:cs="Arial"/>
        </w:rPr>
      </w:pPr>
      <w:r>
        <w:rPr>
          <w:rFonts w:cs="Arial" w:ascii="Arial" w:hAnsi="Arial"/>
        </w:rPr>
        <w:t>San Diego Gas &amp; Electric Company,</w:t>
        <w:tab/>
        <w:tab/>
        <w:t>)</w:t>
      </w:r>
    </w:p>
    <w:p>
      <w:pPr>
        <w:pStyle w:val="Normal"/>
        <w:rPr>
          <w:rFonts w:ascii="Arial" w:hAnsi="Arial" w:cs="Arial"/>
        </w:rPr>
      </w:pPr>
      <w:r>
        <w:rPr>
          <w:rFonts w:cs="Arial" w:ascii="Arial" w:hAnsi="Arial"/>
        </w:rPr>
        <w:tab/>
        <w:tab/>
        <w:tab/>
        <w:tab/>
        <w:tab/>
        <w:tab/>
        <w:tab/>
        <w:t>)</w:t>
      </w:r>
    </w:p>
    <w:p>
      <w:pPr>
        <w:pStyle w:val="Normal"/>
        <w:rPr>
          <w:rFonts w:ascii="Arial" w:hAnsi="Arial" w:cs="Arial"/>
        </w:rPr>
      </w:pPr>
      <w:r>
        <w:rPr>
          <w:rFonts w:cs="Arial" w:ascii="Arial" w:hAnsi="Arial"/>
        </w:rPr>
        <w:tab/>
        <w:tab/>
        <w:tab/>
        <w:t>Complainant,</w:t>
        <w:tab/>
        <w:tab/>
        <w:tab/>
        <w:t>)</w:t>
      </w:r>
    </w:p>
    <w:p>
      <w:pPr>
        <w:pStyle w:val="Normal"/>
        <w:rPr>
          <w:rFonts w:ascii="Arial" w:hAnsi="Arial" w:cs="Arial"/>
        </w:rPr>
      </w:pPr>
      <w:r>
        <w:rPr>
          <w:rFonts w:cs="Arial" w:ascii="Arial" w:hAnsi="Arial"/>
        </w:rPr>
        <w:tab/>
        <w:tab/>
        <w:tab/>
        <w:tab/>
        <w:tab/>
        <w:tab/>
        <w:tab/>
        <w:t>)</w:t>
      </w:r>
    </w:p>
    <w:p>
      <w:pPr>
        <w:pStyle w:val="Normal"/>
        <w:rPr>
          <w:rFonts w:ascii="Arial" w:hAnsi="Arial" w:cs="Arial"/>
        </w:rPr>
      </w:pPr>
      <w:r>
        <w:rPr>
          <w:rFonts w:cs="Arial" w:ascii="Arial" w:hAnsi="Arial"/>
        </w:rPr>
        <w:tab/>
        <w:tab/>
        <w:t>v.</w:t>
        <w:tab/>
        <w:tab/>
        <w:tab/>
        <w:tab/>
        <w:tab/>
        <w:t>)</w:t>
        <w:tab/>
        <w:t>Docket No. EL00-95-045</w:t>
      </w:r>
    </w:p>
    <w:p>
      <w:pPr>
        <w:pStyle w:val="Normal"/>
        <w:rPr>
          <w:rFonts w:ascii="Arial" w:hAnsi="Arial" w:cs="Arial"/>
        </w:rPr>
      </w:pPr>
      <w:r>
        <w:rPr>
          <w:rFonts w:cs="Arial" w:ascii="Arial" w:hAnsi="Arial"/>
        </w:rPr>
        <w:tab/>
        <w:tab/>
        <w:tab/>
        <w:tab/>
        <w:tab/>
        <w:tab/>
        <w:tab/>
        <w:t>)</w:t>
      </w:r>
    </w:p>
    <w:p>
      <w:pPr>
        <w:pStyle w:val="Normal"/>
        <w:rPr>
          <w:rFonts w:ascii="Arial" w:hAnsi="Arial" w:cs="Arial"/>
        </w:rPr>
      </w:pPr>
      <w:r>
        <w:rPr>
          <w:rFonts w:cs="Arial" w:ascii="Arial" w:hAnsi="Arial"/>
        </w:rPr>
        <w:t>Sellers of Energy and Ancillary Service Into</w:t>
        <w:tab/>
        <w:t>)</w:t>
      </w:r>
    </w:p>
    <w:p>
      <w:pPr>
        <w:pStyle w:val="Normal"/>
        <w:rPr>
          <w:rFonts w:ascii="Arial" w:hAnsi="Arial" w:cs="Arial"/>
        </w:rPr>
      </w:pPr>
      <w:r>
        <w:rPr>
          <w:rFonts w:cs="Arial" w:ascii="Arial" w:hAnsi="Arial"/>
        </w:rPr>
        <w:t>Markets Operated by the California</w:t>
        <w:tab/>
        <w:tab/>
        <w:t>)</w:t>
      </w:r>
    </w:p>
    <w:p>
      <w:pPr>
        <w:pStyle w:val="Normal"/>
        <w:rPr>
          <w:rFonts w:ascii="Arial" w:hAnsi="Arial" w:cs="Arial"/>
        </w:rPr>
      </w:pPr>
      <w:r>
        <w:rPr>
          <w:rFonts w:cs="Arial" w:ascii="Arial" w:hAnsi="Arial"/>
        </w:rPr>
        <w:t>Independent System Operator Corporation</w:t>
        <w:tab/>
        <w:t>)</w:t>
      </w:r>
    </w:p>
    <w:p>
      <w:pPr>
        <w:pStyle w:val="Normal"/>
        <w:rPr>
          <w:rFonts w:ascii="Arial" w:hAnsi="Arial" w:cs="Arial"/>
        </w:rPr>
      </w:pPr>
      <w:r>
        <w:rPr>
          <w:rFonts w:cs="Arial" w:ascii="Arial" w:hAnsi="Arial"/>
        </w:rPr>
        <w:t>and the California Power Exchange,</w:t>
        <w:tab/>
        <w:tab/>
        <w:t>)</w:t>
      </w:r>
    </w:p>
    <w:p>
      <w:pPr>
        <w:pStyle w:val="Normal"/>
        <w:rPr>
          <w:rFonts w:ascii="Arial" w:hAnsi="Arial" w:cs="Arial"/>
        </w:rPr>
      </w:pPr>
      <w:r>
        <w:rPr>
          <w:rFonts w:cs="Arial" w:ascii="Arial" w:hAnsi="Arial"/>
        </w:rPr>
        <w:tab/>
        <w:tab/>
        <w:tab/>
        <w:tab/>
        <w:tab/>
        <w:tab/>
        <w:tab/>
        <w:t>)</w:t>
      </w:r>
    </w:p>
    <w:p>
      <w:pPr>
        <w:pStyle w:val="Normal"/>
        <w:rPr>
          <w:rFonts w:ascii="Arial" w:hAnsi="Arial" w:cs="Arial"/>
        </w:rPr>
      </w:pPr>
      <w:r>
        <w:rPr>
          <w:rFonts w:cs="Arial" w:ascii="Arial" w:hAnsi="Arial"/>
        </w:rPr>
        <w:tab/>
        <w:tab/>
        <w:tab/>
        <w:t>Respondents.</w:t>
        <w:tab/>
        <w:tab/>
        <w:t>)</w:t>
      </w:r>
    </w:p>
    <w:p>
      <w:pPr>
        <w:pStyle w:val="Normal"/>
        <w:rPr>
          <w:rFonts w:ascii="Arial" w:hAnsi="Arial" w:cs="Arial"/>
        </w:rPr>
      </w:pPr>
      <w:r>
        <w:rPr>
          <w:rFonts w:cs="Arial" w:ascii="Arial" w:hAnsi="Arial"/>
        </w:rPr>
        <w:tab/>
        <w:tab/>
        <w:tab/>
        <w:tab/>
        <w:tab/>
        <w:tab/>
        <w:tab/>
        <w:t>)</w:t>
      </w:r>
    </w:p>
    <w:p>
      <w:pPr>
        <w:pStyle w:val="Normal"/>
        <w:rPr>
          <w:rFonts w:ascii="Arial" w:hAnsi="Arial" w:cs="Arial"/>
        </w:rPr>
      </w:pPr>
      <w:r>
        <w:rPr>
          <w:rFonts w:cs="Arial" w:ascii="Arial" w:hAnsi="Arial"/>
        </w:rPr>
        <w:tab/>
        <w:tab/>
        <w:tab/>
        <w:tab/>
        <w:tab/>
        <w:tab/>
        <w:tab/>
        <w:t>)</w:t>
      </w:r>
    </w:p>
    <w:p>
      <w:pPr>
        <w:pStyle w:val="Normal"/>
        <w:rPr>
          <w:rFonts w:ascii="Arial" w:hAnsi="Arial" w:cs="Arial"/>
        </w:rPr>
      </w:pPr>
      <w:r>
        <w:rPr>
          <w:rFonts w:cs="Arial" w:ascii="Arial" w:hAnsi="Arial"/>
        </w:rPr>
        <w:t>Investigation of Practices of the California</w:t>
        <w:tab/>
        <w:t>)</w:t>
        <w:tab/>
        <w:t>Docket No. EL00-98-042</w:t>
      </w:r>
    </w:p>
    <w:p>
      <w:pPr>
        <w:pStyle w:val="Normal"/>
        <w:rPr>
          <w:rFonts w:ascii="Arial" w:hAnsi="Arial" w:cs="Arial"/>
        </w:rPr>
      </w:pPr>
      <w:r>
        <w:rPr>
          <w:rFonts w:cs="Arial" w:ascii="Arial" w:hAnsi="Arial"/>
        </w:rPr>
        <w:t>Independent System Operator and the</w:t>
        <w:tab/>
        <w:tab/>
        <w:t>)</w:t>
        <w:tab/>
        <w:t xml:space="preserve"> </w:t>
      </w:r>
    </w:p>
    <w:p>
      <w:pPr>
        <w:pStyle w:val="Normal"/>
        <w:rPr>
          <w:rFonts w:ascii="Arial" w:hAnsi="Arial" w:cs="Arial"/>
        </w:rPr>
      </w:pPr>
      <w:r>
        <w:rPr>
          <w:rFonts w:cs="Arial" w:ascii="Arial" w:hAnsi="Arial"/>
        </w:rPr>
        <w:t>California Power Exchange</w:t>
        <w:tab/>
        <w:tab/>
        <w:tab/>
        <w:t>)</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jc w:val="center"/>
        <w:rPr/>
      </w:pPr>
      <w:r>
        <w:rPr>
          <w:rFonts w:cs="Arial" w:ascii="Arial" w:hAnsi="Arial"/>
          <w:b/>
        </w:rPr>
        <w:t>RESPONSE OF THE SACRAMENTO MUNICIPAL UTILITY DISTRICT TO NOVEMBER 15</w:t>
      </w:r>
      <w:r>
        <w:rPr>
          <w:rFonts w:cs="Arial" w:ascii="Arial" w:hAnsi="Arial"/>
          <w:b/>
          <w:vertAlign w:val="superscript"/>
        </w:rPr>
        <w:t>TH</w:t>
      </w:r>
      <w:r>
        <w:rPr>
          <w:rFonts w:cs="Arial" w:ascii="Arial" w:hAnsi="Arial"/>
          <w:b/>
        </w:rPr>
        <w:t xml:space="preserve"> ORDER CONCERNING PROTECTIVE ORDER </w:t>
      </w:r>
    </w:p>
    <w:p>
      <w:pPr>
        <w:pStyle w:val="Normal"/>
        <w:jc w:val="center"/>
        <w:rPr>
          <w:rFonts w:ascii="Arial" w:hAnsi="Arial" w:cs="Arial"/>
          <w:b/>
        </w:rPr>
      </w:pPr>
      <w:r>
        <w:rPr>
          <w:rFonts w:cs="Arial" w:ascii="Arial" w:hAnsi="Arial"/>
          <w:b/>
        </w:rPr>
      </w:r>
    </w:p>
    <w:p>
      <w:pPr>
        <w:pStyle w:val="Normal"/>
        <w:rPr>
          <w:rFonts w:ascii="Arial" w:hAnsi="Arial" w:cs="Arial"/>
          <w:b/>
        </w:rPr>
      </w:pPr>
      <w:r>
        <w:rPr>
          <w:rFonts w:cs="Arial" w:ascii="Arial" w:hAnsi="Arial"/>
          <w:b/>
        </w:rPr>
        <w:t>To:  The Honorable Bruce L. Birchman</w:t>
      </w:r>
    </w:p>
    <w:p>
      <w:pPr>
        <w:pStyle w:val="Normal"/>
        <w:rPr/>
      </w:pPr>
      <w:r>
        <w:rPr>
          <w:rFonts w:eastAsia="Arial" w:cs="Arial" w:ascii="Arial" w:hAnsi="Arial"/>
          <w:b/>
        </w:rPr>
        <w:t xml:space="preserve">        </w:t>
      </w:r>
      <w:r>
        <w:rPr>
          <w:rFonts w:cs="Arial" w:ascii="Arial" w:hAnsi="Arial"/>
          <w:b/>
        </w:rPr>
        <w:t>Presiding Administrative Law Judge</w:t>
      </w:r>
      <w:r>
        <w:rPr>
          <w:rFonts w:cs="Arial" w:ascii="Arial" w:hAnsi="Arial"/>
        </w:rPr>
        <w:t xml:space="preserve"> </w:t>
      </w:r>
    </w:p>
    <w:p>
      <w:pPr>
        <w:pStyle w:val="Normal"/>
        <w:jc w:val="center"/>
        <w:rPr>
          <w:rFonts w:ascii="Arial" w:hAnsi="Arial" w:eastAsia="Arial" w:cs="Arial"/>
          <w:b/>
        </w:rPr>
      </w:pPr>
      <w:r>
        <w:rPr>
          <w:rFonts w:eastAsia="Arial" w:cs="Arial" w:ascii="Arial" w:hAnsi="Arial"/>
          <w:b/>
        </w:rPr>
        <w:t xml:space="preserve"> </w:t>
      </w:r>
    </w:p>
    <w:p>
      <w:pPr>
        <w:pStyle w:val="DoubleSpace"/>
        <w:rPr>
          <w:rFonts w:ascii="Arial" w:hAnsi="Arial" w:cs="Arial"/>
        </w:rPr>
      </w:pPr>
      <w:r>
        <w:rPr>
          <w:rFonts w:cs="Arial" w:ascii="Arial" w:hAnsi="Arial"/>
        </w:rPr>
        <w:tab/>
        <w:t xml:space="preserve">In accordance with the Presiding Administrative Law Judge’s November 15, 2001 Order lifting the Protective Order in this proceeding with respect to heat rate data and the calculation of the Mitigated Market Clearing Price (“MMCP”), and directing parties to identify portions of their per-filed testimony and exhibits which (a) are no longer protected and (b) continue to be under seal as a result of the November 21 Order, the Sacramento Municipal Utility District (“SMUD”) states as follows:  </w:t>
      </w:r>
    </w:p>
    <w:p>
      <w:pPr>
        <w:pStyle w:val="DoubleSpace"/>
        <w:numPr>
          <w:ilvl w:val="0"/>
          <w:numId w:val="5"/>
        </w:numPr>
        <w:rPr>
          <w:rFonts w:ascii="Arial" w:hAnsi="Arial" w:cs="Arial"/>
        </w:rPr>
      </w:pPr>
      <w:r>
        <w:rPr>
          <w:rFonts w:cs="Arial" w:ascii="Arial" w:hAnsi="Arial"/>
        </w:rPr>
        <w:t xml:space="preserve">Exhibits SMD-5 and SMD-7 were submitted under seal.  These exhibits rely on heat rate and/or MMCP data provided by the California Independent System Operator.  While SMUD has no objection to placing Exhibits SMD-5 and SMD-7 in the public domain, SMUD did not make the original claims for protection with respect to the data underlying these exhibits. </w:t>
      </w:r>
    </w:p>
    <w:p>
      <w:pPr>
        <w:pStyle w:val="DoubleSpace"/>
        <w:numPr>
          <w:ilvl w:val="0"/>
          <w:numId w:val="5"/>
        </w:numPr>
        <w:rPr>
          <w:rFonts w:ascii="Arial" w:hAnsi="Arial" w:cs="Arial"/>
        </w:rPr>
      </w:pPr>
      <w:r>
        <w:rPr>
          <w:rFonts w:cs="Arial" w:ascii="Arial" w:hAnsi="Arial"/>
        </w:rPr>
        <w:t xml:space="preserve">SMUD has no other pre-filed testimony and/or supporting exhibits that continue to be under seal and subject to the Protective Order in this proceeding.  </w:t>
      </w:r>
    </w:p>
    <w:p>
      <w:pPr>
        <w:pStyle w:val="DoubleSpace"/>
        <w:rPr>
          <w:rFonts w:ascii="Arial" w:hAnsi="Arial" w:cs="Arial"/>
        </w:rPr>
      </w:pPr>
      <w:r>
        <w:rPr>
          <w:rFonts w:cs="Arial" w:ascii="Arial" w:hAnsi="Arial"/>
        </w:rPr>
      </w:r>
    </w:p>
    <w:p>
      <w:pPr>
        <w:pStyle w:val="Normal"/>
        <w:ind w:firstLine="4320" w:end="0"/>
        <w:rPr>
          <w:rFonts w:ascii="Arial" w:hAnsi="Arial" w:cs="Arial"/>
        </w:rPr>
      </w:pPr>
      <w:r>
        <w:rPr>
          <w:rFonts w:cs="Arial" w:ascii="Arial" w:hAnsi="Arial"/>
        </w:rPr>
        <w:t>Respectfully submitted,</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ind w:firstLine="4320" w:end="0"/>
        <w:rPr>
          <w:rFonts w:ascii="Arial" w:hAnsi="Arial" w:cs="Arial"/>
        </w:rPr>
      </w:pPr>
      <w:r>
        <w:rPr>
          <w:rFonts w:cs="Arial" w:ascii="Arial" w:hAnsi="Arial"/>
        </w:rPr>
        <w:t>___________________________</w:t>
      </w:r>
    </w:p>
    <w:p>
      <w:pPr>
        <w:pStyle w:val="Normal"/>
        <w:ind w:firstLine="4320" w:end="0"/>
        <w:rPr>
          <w:rFonts w:ascii="Arial" w:hAnsi="Arial" w:cs="Arial"/>
        </w:rPr>
      </w:pPr>
      <w:r>
        <w:rPr>
          <w:rFonts w:cs="Arial" w:ascii="Arial" w:hAnsi="Arial"/>
        </w:rPr>
        <w:t>Glen L. Ortman</w:t>
      </w:r>
    </w:p>
    <w:p>
      <w:pPr>
        <w:pStyle w:val="Normal"/>
        <w:ind w:firstLine="4320" w:end="0"/>
        <w:rPr>
          <w:rFonts w:ascii="Arial" w:hAnsi="Arial" w:cs="Arial"/>
        </w:rPr>
      </w:pPr>
      <w:r>
        <w:rPr>
          <w:rFonts w:cs="Arial" w:ascii="Arial" w:hAnsi="Arial"/>
        </w:rPr>
        <w:t>Adrienne E. Clair</w:t>
      </w:r>
    </w:p>
    <w:p>
      <w:pPr>
        <w:pStyle w:val="Normal"/>
        <w:rPr>
          <w:rFonts w:ascii="Arial" w:hAnsi="Arial" w:cs="Arial"/>
        </w:rPr>
      </w:pPr>
      <w:r>
        <w:rPr>
          <w:rFonts w:cs="Arial" w:ascii="Arial" w:hAnsi="Arial"/>
        </w:rPr>
        <w:tab/>
        <w:tab/>
        <w:tab/>
        <w:tab/>
        <w:tab/>
        <w:tab/>
        <w:t>Morrison and Hecker, LLP</w:t>
      </w:r>
    </w:p>
    <w:p>
      <w:pPr>
        <w:pStyle w:val="Normal"/>
        <w:rPr>
          <w:rFonts w:ascii="Arial" w:hAnsi="Arial" w:cs="Arial"/>
        </w:rPr>
      </w:pPr>
      <w:r>
        <w:rPr>
          <w:rFonts w:cs="Arial" w:ascii="Arial" w:hAnsi="Arial"/>
        </w:rPr>
        <w:tab/>
        <w:tab/>
        <w:tab/>
        <w:tab/>
        <w:tab/>
        <w:tab/>
        <w:t>1150 18th Street NW  Suite 800</w:t>
      </w:r>
    </w:p>
    <w:p>
      <w:pPr>
        <w:pStyle w:val="Normal"/>
        <w:ind w:firstLine="4320" w:end="0"/>
        <w:rPr>
          <w:rFonts w:ascii="Arial" w:hAnsi="Arial" w:cs="Arial"/>
        </w:rPr>
      </w:pPr>
      <w:r>
        <w:rPr>
          <w:rFonts w:cs="Arial" w:ascii="Arial" w:hAnsi="Arial"/>
        </w:rPr>
        <w:t>Washington, D.C. 20036</w:t>
      </w:r>
    </w:p>
    <w:p>
      <w:pPr>
        <w:pStyle w:val="Normal"/>
        <w:ind w:firstLine="4320" w:end="0"/>
        <w:rPr>
          <w:rFonts w:ascii="Arial" w:hAnsi="Arial" w:cs="Arial"/>
        </w:rPr>
      </w:pPr>
      <w:r>
        <w:rPr>
          <w:rFonts w:cs="Arial" w:ascii="Arial" w:hAnsi="Arial"/>
        </w:rPr>
        <w:t>(202) 785-9100</w:t>
      </w:r>
    </w:p>
    <w:p>
      <w:pPr>
        <w:pStyle w:val="Normal"/>
        <w:ind w:firstLine="4320" w:end="0"/>
        <w:rPr>
          <w:rFonts w:ascii="Arial" w:hAnsi="Arial" w:cs="Arial"/>
        </w:rPr>
      </w:pPr>
      <w:r>
        <w:rPr>
          <w:rFonts w:cs="Arial" w:ascii="Arial" w:hAnsi="Arial"/>
        </w:rPr>
      </w:r>
    </w:p>
    <w:p>
      <w:pPr>
        <w:pStyle w:val="Normal"/>
        <w:ind w:firstLine="4320" w:end="0"/>
        <w:rPr>
          <w:rFonts w:ascii="Arial" w:hAnsi="Arial" w:cs="Arial"/>
        </w:rPr>
      </w:pPr>
      <w:r>
        <w:rPr>
          <w:rFonts w:cs="Arial" w:ascii="Arial" w:hAnsi="Arial"/>
        </w:rPr>
        <w:t>Dana Appling</w:t>
      </w:r>
    </w:p>
    <w:p>
      <w:pPr>
        <w:pStyle w:val="Normal"/>
        <w:ind w:firstLine="4320" w:end="0"/>
        <w:rPr>
          <w:rFonts w:ascii="Arial" w:hAnsi="Arial" w:cs="Arial"/>
        </w:rPr>
      </w:pPr>
      <w:r>
        <w:rPr>
          <w:rFonts w:cs="Arial" w:ascii="Arial" w:hAnsi="Arial"/>
        </w:rPr>
        <w:t>Arlen Orchard</w:t>
      </w:r>
    </w:p>
    <w:p>
      <w:pPr>
        <w:pStyle w:val="Normal"/>
        <w:ind w:firstLine="4320" w:end="0"/>
        <w:rPr>
          <w:rFonts w:ascii="Arial" w:hAnsi="Arial" w:cs="Arial"/>
        </w:rPr>
      </w:pPr>
      <w:r>
        <w:rPr>
          <w:rFonts w:cs="Arial" w:ascii="Arial" w:hAnsi="Arial"/>
        </w:rPr>
        <w:t>Sacramento Municipal Utility District</w:t>
      </w:r>
    </w:p>
    <w:p>
      <w:pPr>
        <w:pStyle w:val="Normal"/>
        <w:ind w:firstLine="4320" w:end="0"/>
        <w:rPr>
          <w:rFonts w:ascii="Arial" w:hAnsi="Arial" w:cs="Arial"/>
        </w:rPr>
      </w:pPr>
      <w:r>
        <w:rPr>
          <w:rFonts w:cs="Arial" w:ascii="Arial" w:hAnsi="Arial"/>
        </w:rPr>
        <w:t>6201 S Street</w:t>
      </w:r>
    </w:p>
    <w:p>
      <w:pPr>
        <w:pStyle w:val="Normal"/>
        <w:ind w:firstLine="4320" w:end="0"/>
        <w:rPr>
          <w:rFonts w:ascii="Arial" w:hAnsi="Arial" w:cs="Arial"/>
        </w:rPr>
      </w:pPr>
      <w:r>
        <w:rPr>
          <w:rFonts w:cs="Arial" w:ascii="Arial" w:hAnsi="Arial"/>
        </w:rPr>
        <w:t>Sacramento, CA 95817-1899</w:t>
      </w:r>
    </w:p>
    <w:p>
      <w:pPr>
        <w:pStyle w:val="Normal"/>
        <w:ind w:firstLine="4320" w:end="0"/>
        <w:rPr>
          <w:rFonts w:ascii="Arial" w:hAnsi="Arial" w:cs="Arial"/>
        </w:rPr>
      </w:pPr>
      <w:r>
        <w:rPr>
          <w:rFonts w:cs="Arial" w:ascii="Arial" w:hAnsi="Arial"/>
        </w:rPr>
        <w:t>(916) 732-6123</w:t>
      </w:r>
    </w:p>
    <w:p>
      <w:pPr>
        <w:pStyle w:val="Normal"/>
        <w:rPr>
          <w:rFonts w:ascii="Arial" w:hAnsi="Arial" w:cs="Arial"/>
        </w:rPr>
      </w:pPr>
      <w:r>
        <w:rPr>
          <w:rFonts w:cs="Arial" w:ascii="Arial" w:hAnsi="Arial"/>
        </w:rPr>
      </w:r>
    </w:p>
    <w:p>
      <w:pPr>
        <w:pStyle w:val="Normal"/>
        <w:ind w:firstLine="4320" w:end="0"/>
        <w:rPr>
          <w:rFonts w:ascii="Arial" w:hAnsi="Arial" w:cs="Arial"/>
        </w:rPr>
      </w:pPr>
      <w:r>
        <w:rPr>
          <w:rFonts w:cs="Arial" w:ascii="Arial" w:hAnsi="Arial"/>
        </w:rPr>
        <w:t>Attorneys for the Sacramento</w:t>
      </w:r>
    </w:p>
    <w:p>
      <w:pPr>
        <w:pStyle w:val="Normal"/>
        <w:ind w:firstLine="4320" w:end="0"/>
        <w:rPr>
          <w:rFonts w:ascii="Arial" w:hAnsi="Arial" w:cs="Arial"/>
        </w:rPr>
      </w:pPr>
      <w:r>
        <w:rPr>
          <w:rFonts w:eastAsia="Arial" w:cs="Arial" w:ascii="Arial" w:hAnsi="Arial"/>
        </w:rPr>
        <w:t xml:space="preserve">   </w:t>
      </w:r>
      <w:r>
        <w:rPr>
          <w:rFonts w:cs="Arial" w:ascii="Arial" w:hAnsi="Arial"/>
        </w:rPr>
        <w:t>Municipal Utility District</w:t>
      </w:r>
    </w:p>
    <w:p>
      <w:pPr>
        <w:pStyle w:val="Normal"/>
        <w:ind w:firstLine="4320" w:end="0"/>
        <w:rPr>
          <w:rFonts w:ascii="Arial" w:hAnsi="Arial" w:cs="Arial"/>
        </w:rPr>
      </w:pPr>
      <w:r>
        <w:rPr>
          <w:rFonts w:cs="Arial" w:ascii="Arial" w:hAnsi="Arial"/>
        </w:rPr>
      </w:r>
    </w:p>
    <w:p>
      <w:pPr>
        <w:pStyle w:val="Normal"/>
        <w:tabs>
          <w:tab w:val="clear" w:pos="720"/>
          <w:tab w:val="left" w:pos="-1440" w:leader="none"/>
        </w:tabs>
        <w:ind w:hanging="1440" w:start="1440" w:end="0"/>
        <w:rPr>
          <w:rFonts w:ascii="Arial" w:hAnsi="Arial" w:cs="Arial"/>
        </w:rPr>
      </w:pPr>
      <w:r>
        <w:rPr>
          <w:rFonts w:cs="Arial" w:ascii="Arial" w:hAnsi="Arial"/>
        </w:rPr>
        <w:t>Dated:</w:t>
        <w:tab/>
        <w:t>November 21, 2001</w:t>
      </w:r>
    </w:p>
    <w:p>
      <w:pPr>
        <w:pStyle w:val="Normal"/>
        <w:tabs>
          <w:tab w:val="clear" w:pos="720"/>
          <w:tab w:val="left" w:pos="-1440" w:leader="none"/>
        </w:tabs>
        <w:ind w:hanging="1440" w:start="1440" w:end="0"/>
        <w:rPr>
          <w:rFonts w:ascii="Arial" w:hAnsi="Arial" w:cs="Arial"/>
        </w:rPr>
      </w:pPr>
      <w:r>
        <w:rPr>
          <w:rFonts w:cs="Arial" w:ascii="Arial" w:hAnsi="Arial"/>
        </w:rPr>
      </w:r>
    </w:p>
    <w:p>
      <w:pPr>
        <w:pStyle w:val="Normal"/>
        <w:tabs>
          <w:tab w:val="clear" w:pos="720"/>
          <w:tab w:val="left" w:pos="-1440" w:leader="none"/>
        </w:tabs>
        <w:ind w:hanging="1440" w:start="1440" w:end="0"/>
        <w:rPr>
          <w:rFonts w:ascii="Arial" w:hAnsi="Arial" w:cs="Arial"/>
        </w:rPr>
      </w:pPr>
      <w:r>
        <w:rPr>
          <w:rFonts w:cs="Arial" w:ascii="Arial" w:hAnsi="Arial"/>
        </w:rPr>
      </w:r>
    </w:p>
    <w:p>
      <w:pPr>
        <w:pStyle w:val="Normal"/>
        <w:tabs>
          <w:tab w:val="clear" w:pos="720"/>
          <w:tab w:val="left" w:pos="-1440" w:leader="none"/>
        </w:tabs>
        <w:ind w:hanging="1440" w:start="1440" w:end="0"/>
        <w:rPr>
          <w:rFonts w:ascii="Arial" w:hAnsi="Arial" w:cs="Arial"/>
        </w:rPr>
      </w:pPr>
      <w:r>
        <w:rPr>
          <w:rFonts w:cs="Arial" w:ascii="Arial" w:hAnsi="Arial"/>
        </w:rPr>
      </w:r>
    </w:p>
    <w:p>
      <w:pPr>
        <w:pStyle w:val="Normal"/>
        <w:tabs>
          <w:tab w:val="clear" w:pos="720"/>
          <w:tab w:val="left" w:pos="-1440" w:leader="none"/>
        </w:tabs>
        <w:ind w:hanging="1440" w:start="1440" w:end="0"/>
        <w:rPr>
          <w:rFonts w:ascii="Arial" w:hAnsi="Arial" w:cs="Arial"/>
        </w:rPr>
      </w:pPr>
      <w:r>
        <w:rPr>
          <w:rFonts w:cs="Arial" w:ascii="Arial" w:hAnsi="Arial"/>
        </w:rPr>
      </w:r>
    </w:p>
    <w:p>
      <w:pPr>
        <w:pStyle w:val="Normal"/>
        <w:tabs>
          <w:tab w:val="clear" w:pos="720"/>
          <w:tab w:val="left" w:pos="-1440" w:leader="none"/>
        </w:tabs>
        <w:ind w:hanging="1440" w:start="1440" w:end="0"/>
        <w:rPr>
          <w:rFonts w:ascii="Arial" w:hAnsi="Arial" w:cs="Arial"/>
        </w:rPr>
      </w:pPr>
      <w:r>
        <w:rPr>
          <w:rFonts w:cs="Arial" w:ascii="Arial" w:hAnsi="Arial"/>
        </w:rPr>
      </w:r>
    </w:p>
    <w:p>
      <w:pPr>
        <w:pStyle w:val="Normal"/>
        <w:tabs>
          <w:tab w:val="clear" w:pos="720"/>
          <w:tab w:val="left" w:pos="-1440" w:leader="none"/>
        </w:tabs>
        <w:ind w:hanging="1440" w:start="1440" w:end="0"/>
        <w:rPr>
          <w:rFonts w:ascii="Arial" w:hAnsi="Arial" w:cs="Arial"/>
        </w:rPr>
      </w:pPr>
      <w:r>
        <w:rPr>
          <w:rFonts w:cs="Arial" w:ascii="Arial" w:hAnsi="Arial"/>
        </w:rPr>
      </w:r>
    </w:p>
    <w:p>
      <w:pPr>
        <w:pStyle w:val="Normal"/>
        <w:tabs>
          <w:tab w:val="clear" w:pos="720"/>
          <w:tab w:val="left" w:pos="-1440" w:leader="none"/>
        </w:tabs>
        <w:ind w:hanging="1440" w:start="1440" w:end="0"/>
        <w:rPr>
          <w:rFonts w:ascii="Arial" w:hAnsi="Arial" w:cs="Arial"/>
        </w:rPr>
      </w:pPr>
      <w:r>
        <w:rPr>
          <w:rFonts w:cs="Arial" w:ascii="Arial" w:hAnsi="Arial"/>
        </w:rPr>
      </w:r>
    </w:p>
    <w:p>
      <w:pPr>
        <w:pStyle w:val="Normal"/>
        <w:tabs>
          <w:tab w:val="clear" w:pos="720"/>
          <w:tab w:val="left" w:pos="-1440" w:leader="none"/>
        </w:tabs>
        <w:ind w:hanging="1440" w:start="1440" w:end="0"/>
        <w:rPr>
          <w:rFonts w:ascii="Arial" w:hAnsi="Arial" w:cs="Arial"/>
        </w:rPr>
      </w:pPr>
      <w:r>
        <w:rPr>
          <w:rFonts w:cs="Arial" w:ascii="Arial" w:hAnsi="Arial"/>
        </w:rPr>
      </w:r>
    </w:p>
    <w:p>
      <w:pPr>
        <w:pStyle w:val="Heading1"/>
        <w:numPr>
          <w:ilvl w:val="0"/>
          <w:numId w:val="0"/>
        </w:numPr>
        <w:ind w:hanging="0" w:start="0"/>
        <w:jc w:val="center"/>
        <w:rPr>
          <w:rFonts w:ascii="Arial" w:hAnsi="Arial" w:cs="Arial"/>
          <w:b/>
        </w:rPr>
      </w:pPr>
      <w:r>
        <w:rPr>
          <w:rFonts w:cs="Arial" w:ascii="Arial" w:hAnsi="Arial"/>
          <w:b/>
        </w:rPr>
        <w:t>CERTIFICATE OF SERVICE</w:t>
      </w:r>
    </w:p>
    <w:p>
      <w:pPr>
        <w:pStyle w:val="Normal"/>
        <w:tabs>
          <w:tab w:val="clear" w:pos="720"/>
          <w:tab w:val="left" w:pos="-1440" w:leader="none"/>
        </w:tabs>
        <w:ind w:hanging="1440" w:start="1440" w:end="0"/>
        <w:rPr>
          <w:rFonts w:ascii="Arial" w:hAnsi="Arial" w:cs="Arial"/>
          <w:b/>
        </w:rPr>
      </w:pPr>
      <w:r>
        <w:rPr>
          <w:rFonts w:cs="Arial" w:ascii="Arial" w:hAnsi="Arial"/>
          <w:b/>
        </w:rPr>
      </w:r>
    </w:p>
    <w:p>
      <w:pPr>
        <w:pStyle w:val="Normal"/>
        <w:tabs>
          <w:tab w:val="clear" w:pos="720"/>
          <w:tab w:val="left" w:pos="-1440" w:leader="none"/>
        </w:tabs>
        <w:rPr>
          <w:rFonts w:ascii="Arial" w:hAnsi="Arial" w:cs="Arial"/>
        </w:rPr>
      </w:pPr>
      <w:r>
        <w:rPr>
          <w:rFonts w:cs="Arial" w:ascii="Arial" w:hAnsi="Arial"/>
        </w:rPr>
        <w:tab/>
        <w:t>I hereby certify that I have this day served a copy of the foregoing document upon each party on the official service listed compiled by the Secretary in these proceedings.</w:t>
      </w:r>
    </w:p>
    <w:p>
      <w:pPr>
        <w:pStyle w:val="Normal"/>
        <w:tabs>
          <w:tab w:val="clear" w:pos="720"/>
          <w:tab w:val="left" w:pos="-1440" w:leader="none"/>
        </w:tabs>
        <w:rPr>
          <w:rFonts w:ascii="Arial" w:hAnsi="Arial" w:cs="Arial"/>
        </w:rPr>
      </w:pPr>
      <w:r>
        <w:rPr>
          <w:rFonts w:cs="Arial" w:ascii="Arial" w:hAnsi="Arial"/>
        </w:rPr>
      </w:r>
    </w:p>
    <w:p>
      <w:pPr>
        <w:pStyle w:val="Normal"/>
        <w:tabs>
          <w:tab w:val="clear" w:pos="720"/>
          <w:tab w:val="left" w:pos="-1440" w:leader="none"/>
        </w:tabs>
        <w:rPr/>
      </w:pPr>
      <w:r>
        <w:rPr>
          <w:rFonts w:cs="Arial" w:ascii="Arial" w:hAnsi="Arial"/>
        </w:rPr>
        <w:tab/>
        <w:t>Dated at Washington, D.C., this 21</w:t>
      </w:r>
      <w:r>
        <w:rPr>
          <w:rFonts w:cs="Arial" w:ascii="Arial" w:hAnsi="Arial"/>
          <w:vertAlign w:val="superscript"/>
        </w:rPr>
        <w:t>st</w:t>
      </w:r>
      <w:r>
        <w:rPr>
          <w:rFonts w:cs="Arial" w:ascii="Arial" w:hAnsi="Arial"/>
        </w:rPr>
        <w:t xml:space="preserve"> day of November, 2001.</w:t>
      </w:r>
    </w:p>
    <w:p>
      <w:pPr>
        <w:pStyle w:val="Normal"/>
        <w:tabs>
          <w:tab w:val="clear" w:pos="720"/>
          <w:tab w:val="left" w:pos="-1440" w:leader="none"/>
        </w:tabs>
        <w:rPr>
          <w:rFonts w:ascii="Arial" w:hAnsi="Arial" w:cs="Arial"/>
        </w:rPr>
      </w:pPr>
      <w:r>
        <w:rPr>
          <w:rFonts w:cs="Arial" w:ascii="Arial" w:hAnsi="Arial"/>
        </w:rPr>
      </w:r>
    </w:p>
    <w:p>
      <w:pPr>
        <w:pStyle w:val="Normal"/>
        <w:tabs>
          <w:tab w:val="clear" w:pos="720"/>
          <w:tab w:val="left" w:pos="-1440" w:leader="none"/>
        </w:tabs>
        <w:rPr>
          <w:rFonts w:ascii="Arial" w:hAnsi="Arial" w:cs="Arial"/>
        </w:rPr>
      </w:pPr>
      <w:r>
        <w:rPr>
          <w:rFonts w:cs="Arial" w:ascii="Arial" w:hAnsi="Arial"/>
        </w:rPr>
      </w:r>
    </w:p>
    <w:p>
      <w:pPr>
        <w:pStyle w:val="Normal"/>
        <w:tabs>
          <w:tab w:val="clear" w:pos="720"/>
          <w:tab w:val="left" w:pos="-1440" w:leader="none"/>
        </w:tabs>
        <w:rPr>
          <w:rFonts w:ascii="Arial" w:hAnsi="Arial" w:cs="Arial"/>
        </w:rPr>
      </w:pPr>
      <w:r>
        <w:rPr>
          <w:rFonts w:cs="Arial" w:ascii="Arial" w:hAnsi="Arial"/>
        </w:rPr>
      </w:r>
    </w:p>
    <w:p>
      <w:pPr>
        <w:pStyle w:val="Normal"/>
        <w:tabs>
          <w:tab w:val="clear" w:pos="720"/>
          <w:tab w:val="left" w:pos="-1440" w:leader="none"/>
        </w:tabs>
        <w:rPr>
          <w:rFonts w:ascii="Arial" w:hAnsi="Arial" w:cs="Arial"/>
        </w:rPr>
      </w:pPr>
      <w:r>
        <w:rPr>
          <w:rFonts w:cs="Arial" w:ascii="Arial" w:hAnsi="Arial"/>
        </w:rPr>
        <w:tab/>
        <w:tab/>
        <w:tab/>
        <w:tab/>
        <w:tab/>
        <w:tab/>
        <w:t>____________________________</w:t>
      </w:r>
    </w:p>
    <w:p>
      <w:pPr>
        <w:pStyle w:val="Normal"/>
        <w:tabs>
          <w:tab w:val="clear" w:pos="720"/>
          <w:tab w:val="left" w:pos="-1440" w:leader="none"/>
        </w:tabs>
        <w:rPr>
          <w:rFonts w:ascii="Arial" w:hAnsi="Arial" w:cs="Arial"/>
        </w:rPr>
      </w:pPr>
      <w:r>
        <w:rPr>
          <w:rFonts w:cs="Arial" w:ascii="Arial" w:hAnsi="Arial"/>
        </w:rPr>
        <w:tab/>
        <w:tab/>
        <w:tab/>
        <w:tab/>
        <w:tab/>
        <w:tab/>
        <w:t>Adrienne E. Clair</w:t>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25336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253365" cy="175260"/>
                      </a:xfrm>
                      <a:prstGeom prst="rect"/>
                      <a:solidFill>
                        <a:srgbClr val="FFFFFF">
                          <a:alpha val="0"/>
                        </a:srgbClr>
                      </a:solidFill>
                    </wps:spPr>
                    <wps:txbx>
                      <w:txbxContent>
                        <w:p>
                          <w:pPr>
                            <w:pStyle w:val="Footer"/>
                            <w:rPr>
                              <w:rStyle w:val="PageNumb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 xml:space="preserve"> -</w:t>
                          </w:r>
                        </w:p>
                      </w:txbxContent>
                    </wps:txbx>
                    <wps:bodyPr anchor="t" lIns="0" tIns="0" rIns="0" bIns="0">
                      <a:noAutofit/>
                    </wps:bodyPr>
                  </wps:wsp>
                </a:graphicData>
              </a:graphic>
            </wp:anchor>
          </w:drawing>
        </mc:Choice>
        <mc:Fallback>
          <w:pict>
            <v:rect fillcolor="#FFFFFF" style="position:absolute;rotation:-0;width:19.95pt;height:13.8pt;mso-wrap-distance-left:0pt;mso-wrap-distance-right:0pt;mso-wrap-distance-top:0pt;mso-wrap-distance-bottom:0pt;margin-top:0.05pt;mso-position-vertical-relative:text;margin-left:224.05pt;mso-position-horizontal:center;mso-position-horizontal-relative:margin">
              <v:fill opacity="0f"/>
              <v:textbox inset="0in,0in,0in,0in">
                <w:txbxContent>
                  <w:p>
                    <w:pPr>
                      <w:pStyle w:val="Footer"/>
                      <w:rPr>
                        <w:rStyle w:val="PageNumb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 xml:space="preserve"> -</w:t>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720" w:hanging="720"/>
      </w:pPr>
      <w:rPr>
        <w:u w:val="none"/>
      </w:rPr>
    </w:lvl>
    <w:lvl w:ilvl="1">
      <w:start w:val="1"/>
      <w:pStyle w:val="Heading2"/>
      <w:numFmt w:val="upperLetter"/>
      <w:lvlText w:val="%2."/>
      <w:lvlJc w:val="start"/>
      <w:pPr>
        <w:tabs>
          <w:tab w:val="num" w:pos="1440"/>
        </w:tabs>
        <w:ind w:start="1440" w:hanging="720"/>
      </w:pPr>
      <w:rPr>
        <w:u w:val="none"/>
      </w:rPr>
    </w:lvl>
    <w:lvl w:ilvl="2">
      <w:start w:val="1"/>
      <w:pStyle w:val="Heading3"/>
      <w:numFmt w:val="decimal"/>
      <w:lvlText w:val="%3."/>
      <w:lvlJc w:val="start"/>
      <w:pPr>
        <w:tabs>
          <w:tab w:val="num" w:pos="2160"/>
        </w:tabs>
        <w:ind w:start="2160" w:hanging="720"/>
      </w:pPr>
    </w:lvl>
    <w:lvl w:ilvl="3">
      <w:start w:val="1"/>
      <w:pStyle w:val="Heading4"/>
      <w:numFmt w:val="lowerLetter"/>
      <w:lvlText w:val="%4."/>
      <w:lvlJc w:val="start"/>
      <w:pPr>
        <w:tabs>
          <w:tab w:val="num" w:pos="2880"/>
        </w:tabs>
        <w:ind w:start="2880" w:hanging="720"/>
      </w:pPr>
    </w:lvl>
    <w:lvl w:ilvl="4">
      <w:start w:val="1"/>
      <w:pStyle w:val="Heading5"/>
      <w:numFmt w:val="lowerRoman"/>
      <w:lvlText w:val="(%5)"/>
      <w:lvlJc w:val="start"/>
      <w:pPr>
        <w:tabs>
          <w:tab w:val="num" w:pos="3600"/>
        </w:tabs>
        <w:ind w:start="3600" w:hanging="720"/>
      </w:pPr>
    </w:lvl>
    <w:lvl w:ilvl="5">
      <w:start w:val="1"/>
      <w:pStyle w:val="Heading6"/>
      <w:numFmt w:val="lowerLetter"/>
      <w:lvlText w:val="(%6)"/>
      <w:lvlJc w:val="start"/>
      <w:pPr>
        <w:tabs>
          <w:tab w:val="num" w:pos="4320"/>
        </w:tabs>
        <w:ind w:start="4320" w:hanging="720"/>
      </w:pPr>
    </w:lvl>
    <w:lvl w:ilvl="6">
      <w:start w:val="1"/>
      <w:pStyle w:val="Heading7"/>
      <w:numFmt w:val="lowerRoman"/>
      <w:lvlText w:val="%7)"/>
      <w:lvlJc w:val="start"/>
      <w:pPr>
        <w:tabs>
          <w:tab w:val="num" w:pos="5040"/>
        </w:tabs>
        <w:ind w:start="5040" w:hanging="720"/>
      </w:pPr>
    </w:lvl>
    <w:lvl w:ilvl="7">
      <w:start w:val="1"/>
      <w:pStyle w:val="Heading8"/>
      <w:numFmt w:val="lowerLetter"/>
      <w:lvlText w:val="%8)"/>
      <w:lvlJc w:val="start"/>
      <w:pPr>
        <w:tabs>
          <w:tab w:val="num" w:pos="5760"/>
        </w:tabs>
        <w:ind w:start="5760" w:hanging="720"/>
      </w:pPr>
    </w:lvl>
    <w:lvl w:ilvl="8">
      <w:start w:val="1"/>
      <w:pStyle w:val="Heading9"/>
      <w:numFmt w:val="lowerRoman"/>
      <w:lvlText w:val="%9."/>
      <w:lvlJc w:val="start"/>
      <w:pPr>
        <w:tabs>
          <w:tab w:val="num" w:pos="6480"/>
        </w:tabs>
        <w:ind w:start="6480" w:hanging="720"/>
      </w:pPr>
    </w:lvl>
  </w:abstractNum>
  <w:abstractNum w:abstractNumId="2">
    <w:lvl w:ilvl="0">
      <w:start w:val="1"/>
      <w:numFmt w:val="bullet"/>
      <w:lvlText w:val=""/>
      <w:lvlJc w:val="start"/>
      <w:pPr>
        <w:tabs>
          <w:tab w:val="num" w:pos="1800"/>
        </w:tabs>
        <w:ind w:start="1800" w:hanging="360"/>
      </w:pPr>
      <w:rPr>
        <w:rFonts w:ascii="Wingdings" w:hAnsi="Wingdings" w:cs="Wingdings" w:hint="default"/>
      </w:r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lowerLetter"/>
      <w:lvlText w:val="(%1)"/>
      <w:lvlJc w:val="start"/>
      <w:pPr>
        <w:tabs>
          <w:tab w:val="num" w:pos="1440"/>
        </w:tabs>
        <w:ind w:start="1440" w:hanging="72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numPr>
        <w:ilvl w:val="0"/>
        <w:numId w:val="1"/>
      </w:numPr>
      <w:spacing w:before="0" w:after="240"/>
      <w:outlineLvl w:val="0"/>
    </w:pPr>
    <w:rPr>
      <w:kern w:val="2"/>
    </w:rPr>
  </w:style>
  <w:style w:type="paragraph" w:styleId="Heading2">
    <w:name w:val="heading 2"/>
    <w:basedOn w:val="Normal"/>
    <w:next w:val="BodyText"/>
    <w:qFormat/>
    <w:pPr>
      <w:numPr>
        <w:ilvl w:val="1"/>
        <w:numId w:val="1"/>
      </w:numPr>
      <w:spacing w:before="0" w:after="240"/>
      <w:outlineLvl w:val="1"/>
    </w:pPr>
    <w:rPr/>
  </w:style>
  <w:style w:type="paragraph" w:styleId="Heading3">
    <w:name w:val="heading 3"/>
    <w:basedOn w:val="Normal"/>
    <w:next w:val="BodyText"/>
    <w:qFormat/>
    <w:pPr>
      <w:numPr>
        <w:ilvl w:val="2"/>
        <w:numId w:val="1"/>
      </w:numPr>
      <w:spacing w:before="0" w:after="240"/>
      <w:outlineLvl w:val="2"/>
    </w:pPr>
    <w:rPr>
      <w:lang w:eastAsia="en-US"/>
    </w:rPr>
  </w:style>
  <w:style w:type="paragraph" w:styleId="Heading4">
    <w:name w:val="heading 4"/>
    <w:basedOn w:val="Normal"/>
    <w:next w:val="BodyText"/>
    <w:qFormat/>
    <w:pPr>
      <w:numPr>
        <w:ilvl w:val="3"/>
        <w:numId w:val="1"/>
      </w:numPr>
      <w:spacing w:before="0" w:after="240"/>
      <w:outlineLvl w:val="3"/>
    </w:pPr>
    <w:rPr>
      <w:lang w:eastAsia="en-US"/>
    </w:rPr>
  </w:style>
  <w:style w:type="paragraph" w:styleId="Heading5">
    <w:name w:val="heading 5"/>
    <w:basedOn w:val="Normal"/>
    <w:next w:val="BodyText"/>
    <w:qFormat/>
    <w:pPr>
      <w:numPr>
        <w:ilvl w:val="4"/>
        <w:numId w:val="1"/>
      </w:numPr>
      <w:spacing w:before="0" w:after="240"/>
      <w:outlineLvl w:val="4"/>
    </w:pPr>
    <w:rPr>
      <w:lang w:eastAsia="en-US"/>
    </w:rPr>
  </w:style>
  <w:style w:type="paragraph" w:styleId="Heading6">
    <w:name w:val="heading 6"/>
    <w:basedOn w:val="Normal"/>
    <w:next w:val="BodyText"/>
    <w:qFormat/>
    <w:pPr>
      <w:numPr>
        <w:ilvl w:val="5"/>
        <w:numId w:val="1"/>
      </w:numPr>
      <w:spacing w:before="0" w:after="240"/>
      <w:outlineLvl w:val="5"/>
    </w:pPr>
    <w:rPr/>
  </w:style>
  <w:style w:type="paragraph" w:styleId="Heading7">
    <w:name w:val="heading 7"/>
    <w:basedOn w:val="Normal"/>
    <w:next w:val="BodyText"/>
    <w:qFormat/>
    <w:pPr>
      <w:numPr>
        <w:ilvl w:val="6"/>
        <w:numId w:val="1"/>
      </w:numPr>
      <w:spacing w:before="0" w:after="240"/>
      <w:outlineLvl w:val="6"/>
    </w:pPr>
    <w:rPr/>
  </w:style>
  <w:style w:type="paragraph" w:styleId="Heading8">
    <w:name w:val="heading 8"/>
    <w:basedOn w:val="Normal"/>
    <w:next w:val="BodyText"/>
    <w:qFormat/>
    <w:pPr>
      <w:numPr>
        <w:ilvl w:val="7"/>
        <w:numId w:val="1"/>
      </w:numPr>
      <w:spacing w:before="0" w:after="240"/>
      <w:outlineLvl w:val="7"/>
    </w:pPr>
    <w:rPr/>
  </w:style>
  <w:style w:type="paragraph" w:styleId="Heading9">
    <w:name w:val="heading 9"/>
    <w:basedOn w:val="Normal"/>
    <w:next w:val="BodyText"/>
    <w:qFormat/>
    <w:pPr>
      <w:numPr>
        <w:ilvl w:val="8"/>
        <w:numId w:val="1"/>
      </w:numPr>
      <w:spacing w:before="0" w:after="240"/>
      <w:outlineLvl w:val="8"/>
    </w:pPr>
    <w:rPr/>
  </w:style>
  <w:style w:type="character" w:styleId="WW8Num1z0">
    <w:name w:val="WW8Num1z0"/>
    <w:qFormat/>
    <w:rPr>
      <w:rFonts w:ascii="Wingdings" w:hAnsi="Wingdings" w:cs="Wingdings"/>
    </w:rPr>
  </w:style>
  <w:style w:type="character" w:styleId="WW8Num3z0">
    <w:name w:val="WW8Num3z0"/>
    <w:qFormat/>
    <w:rPr>
      <w:rFonts w:ascii="Symbol" w:hAnsi="Symbol" w:cs="Symbol"/>
    </w:rPr>
  </w:style>
  <w:style w:type="character" w:styleId="WW8Num4z0">
    <w:name w:val="WW8Num4z0"/>
    <w:qFormat/>
    <w:rPr>
      <w:rFonts w:ascii="Times New Roman" w:hAnsi="Times New Roman" w:cs="Times New Roman"/>
      <w:sz w:val="24"/>
      <w:u w:val="none"/>
    </w:rPr>
  </w:style>
  <w:style w:type="character" w:styleId="WW8Num4z1">
    <w:name w:val="WW8Num4z1"/>
    <w:qFormat/>
    <w:rPr>
      <w:rFonts w:ascii="Times New Roman" w:hAnsi="Times New Roman" w:cs="Times New Roman"/>
      <w:sz w:val="24"/>
      <w:u w:val="none"/>
    </w:rPr>
  </w:style>
  <w:style w:type="character" w:styleId="WW8Num4z2">
    <w:name w:val="WW8Num4z2"/>
    <w:qFormat/>
    <w:rPr>
      <w:rFonts w:ascii="Times New Roman" w:hAnsi="Times New Roman" w:cs="Times New Roman"/>
      <w:sz w:val="24"/>
    </w:rPr>
  </w:style>
  <w:style w:type="character" w:styleId="WW8Num4z8">
    <w:name w:val="WW8Num4z8"/>
    <w:qFormat/>
    <w:rPr>
      <w:rFonts w:ascii="Times New Roman" w:hAnsi="Times New Roman" w:cs="Times New Roman"/>
    </w:rPr>
  </w:style>
  <w:style w:type="character" w:styleId="WW8Num5z0">
    <w:name w:val="WW8Num5z0"/>
    <w:qFormat/>
    <w:rPr/>
  </w:style>
  <w:style w:type="character" w:styleId="WW8Num6z0">
    <w:name w:val="WW8Num6z0"/>
    <w:qFormat/>
    <w:rPr>
      <w:rFonts w:ascii="Times New Roman" w:hAnsi="Times New Roman" w:cs="Times New Roman"/>
      <w:sz w:val="24"/>
      <w:u w:val="none"/>
    </w:rPr>
  </w:style>
  <w:style w:type="character" w:styleId="WW8Num6z1">
    <w:name w:val="WW8Num6z1"/>
    <w:qFormat/>
    <w:rPr>
      <w:rFonts w:ascii="Times New Roman" w:hAnsi="Times New Roman" w:cs="Times New Roman"/>
      <w:sz w:val="24"/>
      <w:u w:val="none"/>
    </w:rPr>
  </w:style>
  <w:style w:type="character" w:styleId="WW8Num6z2">
    <w:name w:val="WW8Num6z2"/>
    <w:qFormat/>
    <w:rPr>
      <w:rFonts w:ascii="Times New Roman" w:hAnsi="Times New Roman" w:cs="Times New Roman"/>
      <w:sz w:val="24"/>
    </w:rPr>
  </w:style>
  <w:style w:type="character" w:styleId="WW8Num6z8">
    <w:name w:val="WW8Num6z8"/>
    <w:qFormat/>
    <w:rPr>
      <w:rFonts w:ascii="Times New Roman" w:hAnsi="Times New Roman" w:cs="Times New Roman"/>
    </w:rPr>
  </w:style>
  <w:style w:type="character" w:styleId="WW8Num7z0">
    <w:name w:val="WW8Num7z0"/>
    <w:qFormat/>
    <w:rPr/>
  </w:style>
  <w:style w:type="character" w:styleId="WW8Num8z0">
    <w:name w:val="WW8Num8z0"/>
    <w:qFormat/>
    <w:rPr/>
  </w:style>
  <w:style w:type="character" w:styleId="WW8Num9z0">
    <w:name w:val="WW8Num9z0"/>
    <w:qFormat/>
    <w:rPr>
      <w:rFonts w:ascii="Times New Roman" w:hAnsi="Times New Roman" w:cs="Times New Roman"/>
      <w:sz w:val="24"/>
      <w:u w:val="none"/>
    </w:rPr>
  </w:style>
  <w:style w:type="character" w:styleId="WW8Num9z1">
    <w:name w:val="WW8Num9z1"/>
    <w:qFormat/>
    <w:rPr>
      <w:rFonts w:ascii="Times New Roman" w:hAnsi="Times New Roman" w:cs="Times New Roman"/>
      <w:sz w:val="24"/>
      <w:u w:val="none"/>
    </w:rPr>
  </w:style>
  <w:style w:type="character" w:styleId="WW8Num9z2">
    <w:name w:val="WW8Num9z2"/>
    <w:qFormat/>
    <w:rPr>
      <w:rFonts w:ascii="Times New Roman" w:hAnsi="Times New Roman" w:cs="Times New Roman"/>
      <w:sz w:val="24"/>
    </w:rPr>
  </w:style>
  <w:style w:type="character" w:styleId="WW8Num9z8">
    <w:name w:val="WW8Num9z8"/>
    <w:qFormat/>
    <w:rPr>
      <w:rFonts w:ascii="Times New Roman" w:hAnsi="Times New Roman" w:cs="Times New Roman"/>
    </w:rPr>
  </w:style>
  <w:style w:type="character" w:styleId="WW8Num10z0">
    <w:name w:val="WW8Num10z0"/>
    <w:qFormat/>
    <w:rPr>
      <w:rFonts w:ascii="Times New Roman" w:hAnsi="Times New Roman" w:cs="Times New Roman"/>
      <w:sz w:val="24"/>
      <w:u w:val="none"/>
    </w:rPr>
  </w:style>
  <w:style w:type="character" w:styleId="WW8Num10z1">
    <w:name w:val="WW8Num10z1"/>
    <w:qFormat/>
    <w:rPr>
      <w:rFonts w:ascii="Times New Roman" w:hAnsi="Times New Roman" w:cs="Times New Roman"/>
      <w:sz w:val="24"/>
      <w:u w:val="none"/>
    </w:rPr>
  </w:style>
  <w:style w:type="character" w:styleId="WW8Num10z2">
    <w:name w:val="WW8Num10z2"/>
    <w:qFormat/>
    <w:rPr>
      <w:rFonts w:ascii="Times New Roman" w:hAnsi="Times New Roman" w:cs="Times New Roman"/>
      <w:sz w:val="24"/>
    </w:rPr>
  </w:style>
  <w:style w:type="character" w:styleId="WW8Num10z8">
    <w:name w:val="WW8Num10z8"/>
    <w:qFormat/>
    <w:rPr>
      <w:rFonts w:ascii="Times New Roman" w:hAnsi="Times New Roman" w:cs="Times New Roman"/>
    </w:rPr>
  </w:style>
  <w:style w:type="character" w:styleId="WW8Num11z0">
    <w:name w:val="WW8Num11z0"/>
    <w:qFormat/>
    <w:rPr/>
  </w:style>
  <w:style w:type="character" w:styleId="WW8Num12z0">
    <w:name w:val="WW8Num12z0"/>
    <w:qFormat/>
    <w:rPr/>
  </w:style>
  <w:style w:type="character" w:styleId="WW8Num13z0">
    <w:name w:val="WW8Num13z0"/>
    <w:qFormat/>
    <w:rPr>
      <w:rFonts w:ascii="Times New Roman" w:hAnsi="Times New Roman" w:cs="Times New Roman"/>
      <w:sz w:val="24"/>
      <w:u w:val="none"/>
    </w:rPr>
  </w:style>
  <w:style w:type="character" w:styleId="WW8Num13z1">
    <w:name w:val="WW8Num13z1"/>
    <w:qFormat/>
    <w:rPr>
      <w:rFonts w:ascii="Times New Roman" w:hAnsi="Times New Roman" w:cs="Times New Roman"/>
      <w:sz w:val="24"/>
      <w:u w:val="none"/>
    </w:rPr>
  </w:style>
  <w:style w:type="character" w:styleId="WW8Num13z2">
    <w:name w:val="WW8Num13z2"/>
    <w:qFormat/>
    <w:rPr>
      <w:rFonts w:ascii="Times New Roman" w:hAnsi="Times New Roman" w:cs="Times New Roman"/>
      <w:sz w:val="24"/>
    </w:rPr>
  </w:style>
  <w:style w:type="character" w:styleId="WW8Num13z8">
    <w:name w:val="WW8Num13z8"/>
    <w:qFormat/>
    <w:rPr>
      <w:rFonts w:ascii="Times New Roman" w:hAnsi="Times New Roman" w:cs="Times New Roman"/>
    </w:rPr>
  </w:style>
  <w:style w:type="character" w:styleId="WW8Num14z0">
    <w:name w:val="WW8Num14z0"/>
    <w:qFormat/>
    <w:rPr>
      <w:rFonts w:ascii="Courier New" w:hAnsi="Courier New" w:cs="Courier New"/>
      <w:b w:val="false"/>
      <w:i w:val="false"/>
      <w:sz w:val="24"/>
    </w:rPr>
  </w:style>
  <w:style w:type="character" w:styleId="WW8Num15z0">
    <w:name w:val="WW8Num15z0"/>
    <w:qFormat/>
    <w:rPr>
      <w:rFonts w:ascii="Times New Roman" w:hAnsi="Times New Roman" w:cs="Times New Roman"/>
      <w:sz w:val="24"/>
      <w:u w:val="none"/>
    </w:rPr>
  </w:style>
  <w:style w:type="character" w:styleId="WW8Num15z1">
    <w:name w:val="WW8Num15z1"/>
    <w:qFormat/>
    <w:rPr>
      <w:rFonts w:ascii="Times New Roman" w:hAnsi="Times New Roman" w:cs="Times New Roman"/>
      <w:sz w:val="24"/>
      <w:u w:val="none"/>
    </w:rPr>
  </w:style>
  <w:style w:type="character" w:styleId="WW8Num15z2">
    <w:name w:val="WW8Num15z2"/>
    <w:qFormat/>
    <w:rPr>
      <w:rFonts w:ascii="Times New Roman" w:hAnsi="Times New Roman" w:cs="Times New Roman"/>
      <w:sz w:val="24"/>
    </w:rPr>
  </w:style>
  <w:style w:type="character" w:styleId="WW8Num15z8">
    <w:name w:val="WW8Num15z8"/>
    <w:qFormat/>
    <w:rPr>
      <w:rFonts w:ascii="Times New Roman" w:hAnsi="Times New Roman" w:cs="Times New Roman"/>
    </w:rPr>
  </w:style>
  <w:style w:type="character" w:styleId="WW8Num16z0">
    <w:name w:val="WW8Num16z0"/>
    <w:qFormat/>
    <w:rPr>
      <w:rFonts w:ascii="Times New Roman" w:hAnsi="Times New Roman" w:cs="Times New Roman"/>
      <w:sz w:val="24"/>
      <w:u w:val="none"/>
    </w:rPr>
  </w:style>
  <w:style w:type="character" w:styleId="WW8Num16z1">
    <w:name w:val="WW8Num16z1"/>
    <w:qFormat/>
    <w:rPr>
      <w:rFonts w:ascii="Times New Roman" w:hAnsi="Times New Roman" w:cs="Times New Roman"/>
      <w:sz w:val="24"/>
      <w:u w:val="none"/>
    </w:rPr>
  </w:style>
  <w:style w:type="character" w:styleId="WW8Num16z2">
    <w:name w:val="WW8Num16z2"/>
    <w:qFormat/>
    <w:rPr>
      <w:rFonts w:ascii="Times New Roman" w:hAnsi="Times New Roman" w:cs="Times New Roman"/>
      <w:sz w:val="24"/>
    </w:rPr>
  </w:style>
  <w:style w:type="character" w:styleId="WW8Num16z8">
    <w:name w:val="WW8Num16z8"/>
    <w:qFormat/>
    <w:rPr>
      <w:rFonts w:ascii="Times New Roman" w:hAnsi="Times New Roman" w:cs="Times New Roman"/>
    </w:rPr>
  </w:style>
  <w:style w:type="character" w:styleId="WW8Num17z0">
    <w:name w:val="WW8Num17z0"/>
    <w:qFormat/>
    <w:rPr>
      <w:rFonts w:ascii="Times New Roman" w:hAnsi="Times New Roman" w:cs="Times New Roman"/>
      <w:sz w:val="24"/>
      <w:u w:val="none"/>
    </w:rPr>
  </w:style>
  <w:style w:type="character" w:styleId="WW8Num17z1">
    <w:name w:val="WW8Num17z1"/>
    <w:qFormat/>
    <w:rPr>
      <w:rFonts w:ascii="Times New Roman" w:hAnsi="Times New Roman" w:cs="Times New Roman"/>
      <w:sz w:val="24"/>
      <w:u w:val="none"/>
    </w:rPr>
  </w:style>
  <w:style w:type="character" w:styleId="WW8Num17z2">
    <w:name w:val="WW8Num17z2"/>
    <w:qFormat/>
    <w:rPr>
      <w:rFonts w:ascii="Times New Roman" w:hAnsi="Times New Roman" w:cs="Times New Roman"/>
      <w:sz w:val="24"/>
    </w:rPr>
  </w:style>
  <w:style w:type="character" w:styleId="WW8Num17z8">
    <w:name w:val="WW8Num17z8"/>
    <w:qFormat/>
    <w:rPr>
      <w:rFonts w:ascii="Times New Roman" w:hAnsi="Times New Roman" w:cs="Times New Roman"/>
    </w:rPr>
  </w:style>
  <w:style w:type="character" w:styleId="WW8Num18z0">
    <w:name w:val="WW8Num18z0"/>
    <w:qFormat/>
    <w:rPr/>
  </w:style>
  <w:style w:type="character" w:styleId="WW8Num19z0">
    <w:name w:val="WW8Num19z0"/>
    <w:qFormat/>
    <w:rPr/>
  </w:style>
  <w:style w:type="character" w:styleId="WW8Num20z0">
    <w:name w:val="WW8Num20z0"/>
    <w:qFormat/>
    <w:rPr>
      <w:rFonts w:ascii="Times New Roman" w:hAnsi="Times New Roman" w:cs="Times New Roman"/>
      <w:sz w:val="24"/>
      <w:u w:val="none"/>
    </w:rPr>
  </w:style>
  <w:style w:type="character" w:styleId="WW8Num20z1">
    <w:name w:val="WW8Num20z1"/>
    <w:qFormat/>
    <w:rPr>
      <w:rFonts w:ascii="Times New Roman" w:hAnsi="Times New Roman" w:cs="Times New Roman"/>
      <w:sz w:val="24"/>
      <w:u w:val="none"/>
    </w:rPr>
  </w:style>
  <w:style w:type="character" w:styleId="WW8Num20z2">
    <w:name w:val="WW8Num20z2"/>
    <w:qFormat/>
    <w:rPr>
      <w:rFonts w:ascii="Times New Roman" w:hAnsi="Times New Roman" w:cs="Times New Roman"/>
      <w:sz w:val="24"/>
    </w:rPr>
  </w:style>
  <w:style w:type="character" w:styleId="WW8Num20z8">
    <w:name w:val="WW8Num20z8"/>
    <w:qFormat/>
    <w:rPr>
      <w:rFonts w:ascii="Times New Roman" w:hAnsi="Times New Roman" w:cs="Times New Roman"/>
    </w:rPr>
  </w:style>
  <w:style w:type="character" w:styleId="WW8Num21z0">
    <w:name w:val="WW8Num21z0"/>
    <w:qFormat/>
    <w:rPr>
      <w:u w:val="none"/>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EndnoteCharacters">
    <w:name w:val="Endnote Characters"/>
    <w:basedOn w:val="DefaultParagraphFont"/>
    <w:qFormat/>
    <w:rPr>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b/>
      <w:sz w:val="26"/>
    </w:rPr>
  </w:style>
  <w:style w:type="paragraph" w:styleId="BodyText">
    <w:name w:val="Body Text"/>
    <w:basedOn w:val="Normal"/>
    <w:pPr/>
    <w:rPr>
      <w:b/>
      <w:sz w:val="26"/>
    </w:rPr>
  </w:style>
  <w:style w:type="paragraph" w:styleId="List">
    <w:name w:val="List"/>
    <w:basedOn w:val="Normal"/>
    <w:pPr>
      <w:spacing w:before="0" w:after="240"/>
      <w:ind w:hanging="720" w:start="72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ubleSpace">
    <w:name w:val="Double Space"/>
    <w:basedOn w:val="Normal"/>
    <w:qFormat/>
    <w:pPr>
      <w:spacing w:lineRule="exact" w:line="560"/>
    </w:pPr>
    <w:rPr>
      <w:lang w:eastAsia="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spacing w:before="0" w:after="240"/>
      <w:ind w:firstLine="720" w:start="0" w:end="0"/>
    </w:pPr>
    <w:rPr/>
  </w:style>
  <w:style w:type="paragraph" w:styleId="Header">
    <w:name w:val="header"/>
    <w:basedOn w:val="Normal"/>
    <w:pPr>
      <w:tabs>
        <w:tab w:val="clear" w:pos="720"/>
        <w:tab w:val="center" w:pos="4320" w:leader="none"/>
        <w:tab w:val="right" w:pos="8640" w:leader="none"/>
      </w:tabs>
    </w:pPr>
    <w:rPr/>
  </w:style>
  <w:style w:type="paragraph" w:styleId="ListBullet">
    <w:name w:val="List Bullet"/>
    <w:basedOn w:val="Normal"/>
    <w:qFormat/>
    <w:pPr>
      <w:numPr>
        <w:ilvl w:val="0"/>
        <w:numId w:val="4"/>
      </w:numPr>
      <w:tabs>
        <w:tab w:val="clear" w:pos="720"/>
      </w:tabs>
      <w:spacing w:before="0" w:after="240"/>
      <w:ind w:hanging="720" w:start="1440" w:end="720"/>
    </w:pPr>
    <w:rPr/>
  </w:style>
  <w:style w:type="paragraph" w:styleId="ListBullet2">
    <w:name w:val="List Bullet 2"/>
    <w:basedOn w:val="Normal"/>
    <w:qFormat/>
    <w:pPr>
      <w:numPr>
        <w:ilvl w:val="0"/>
        <w:numId w:val="2"/>
      </w:numPr>
      <w:tabs>
        <w:tab w:val="clear" w:pos="720"/>
      </w:tabs>
      <w:spacing w:before="0" w:after="240"/>
      <w:ind w:hanging="0" w:start="0" w:end="1440"/>
    </w:pPr>
    <w:rPr/>
  </w:style>
  <w:style w:type="paragraph" w:styleId="ListNumber">
    <w:name w:val="List Number"/>
    <w:basedOn w:val="Normal"/>
    <w:qFormat/>
    <w:pPr>
      <w:numPr>
        <w:ilvl w:val="0"/>
        <w:numId w:val="3"/>
      </w:numPr>
      <w:tabs>
        <w:tab w:val="clear" w:pos="720"/>
      </w:tabs>
      <w:spacing w:before="0" w:after="240"/>
      <w:ind w:hanging="720" w:start="1440" w:end="0"/>
    </w:pPr>
    <w:rPr/>
  </w:style>
  <w:style w:type="paragraph" w:styleId="NormalIndent">
    <w:name w:val="Normal Indent"/>
    <w:basedOn w:val="Normal"/>
    <w:qFormat/>
    <w:pPr>
      <w:spacing w:before="0" w:after="240"/>
      <w:ind w:hanging="0" w:start="720" w:end="0"/>
    </w:pPr>
    <w:rPr/>
  </w:style>
  <w:style w:type="paragraph" w:styleId="SingleSpace">
    <w:name w:val="Single Space"/>
    <w:basedOn w:val="Normal"/>
    <w:qFormat/>
    <w:pPr/>
    <w:rPr>
      <w:lang w:eastAsia="en-US"/>
    </w:rPr>
  </w:style>
  <w:style w:type="paragraph" w:styleId="DoubleIndent">
    <w:name w:val="Double Indent"/>
    <w:basedOn w:val="Normal"/>
    <w:qFormat/>
    <w:pPr>
      <w:spacing w:before="0" w:after="240"/>
      <w:ind w:hanging="0" w:start="1440" w:end="1440"/>
    </w:pPr>
    <w:rPr/>
  </w:style>
  <w:style w:type="paragraph" w:styleId="EndnoteText">
    <w:name w:val="endnote text"/>
    <w:basedOn w:val="Normal"/>
    <w:pPr>
      <w:spacing w:before="0" w:after="240"/>
      <w:ind w:firstLine="720" w:start="0" w:end="0"/>
    </w:pPr>
    <w:rPr/>
  </w:style>
  <w:style w:type="paragraph" w:styleId="Index1">
    <w:name w:val="index 1"/>
    <w:basedOn w:val="Normal"/>
    <w:next w:val="Normal"/>
    <w:pPr>
      <w:ind w:hanging="240" w:start="240" w:end="0"/>
    </w:pPr>
    <w:rPr/>
  </w:style>
  <w:style w:type="paragraph" w:styleId="TOC1">
    <w:name w:val="toc 1"/>
    <w:basedOn w:val="Normal"/>
    <w:next w:val="Normal"/>
    <w:pPr>
      <w:tabs>
        <w:tab w:val="clear" w:pos="720"/>
        <w:tab w:val="right" w:pos="9360" w:leader="dot"/>
      </w:tabs>
      <w:spacing w:before="0" w:after="120"/>
      <w:ind w:hanging="720" w:start="720" w:end="0"/>
    </w:pPr>
    <w:rPr/>
  </w:style>
  <w:style w:type="paragraph" w:styleId="TOC2">
    <w:name w:val="toc 2"/>
    <w:basedOn w:val="Normal"/>
    <w:next w:val="Normal"/>
    <w:pPr>
      <w:tabs>
        <w:tab w:val="clear" w:pos="720"/>
        <w:tab w:val="right" w:pos="9360" w:leader="dot"/>
      </w:tabs>
      <w:spacing w:before="0" w:after="120"/>
      <w:ind w:hanging="720" w:start="1440" w:end="0"/>
    </w:pPr>
    <w:rPr/>
  </w:style>
  <w:style w:type="paragraph" w:styleId="TOC3">
    <w:name w:val="toc 3"/>
    <w:basedOn w:val="Normal"/>
    <w:next w:val="Normal"/>
    <w:pPr>
      <w:tabs>
        <w:tab w:val="clear" w:pos="720"/>
        <w:tab w:val="left" w:pos="2160" w:leader="none"/>
        <w:tab w:val="right" w:pos="9360" w:leader="dot"/>
      </w:tabs>
      <w:spacing w:before="0" w:after="120"/>
      <w:ind w:hanging="720" w:start="2160" w:end="0"/>
    </w:pPr>
    <w:rPr/>
  </w:style>
  <w:style w:type="paragraph" w:styleId="TOC4">
    <w:name w:val="toc 4"/>
    <w:basedOn w:val="Normal"/>
    <w:next w:val="Normal"/>
    <w:pPr>
      <w:tabs>
        <w:tab w:val="clear" w:pos="720"/>
        <w:tab w:val="right" w:pos="9360" w:leader="dot"/>
      </w:tabs>
      <w:spacing w:before="0" w:after="120"/>
      <w:ind w:hanging="720" w:start="2880" w:end="0"/>
    </w:pPr>
    <w:rPr/>
  </w:style>
  <w:style w:type="paragraph" w:styleId="TOC5">
    <w:name w:val="toc 5"/>
    <w:basedOn w:val="Normal"/>
    <w:next w:val="Normal"/>
    <w:pPr>
      <w:tabs>
        <w:tab w:val="clear" w:pos="720"/>
        <w:tab w:val="right" w:pos="9360" w:leader="dot"/>
      </w:tabs>
      <w:spacing w:before="0" w:after="120"/>
      <w:ind w:hanging="720" w:start="3600" w:end="0"/>
    </w:pPr>
    <w:rPr/>
  </w:style>
  <w:style w:type="paragraph" w:styleId="TOC6">
    <w:name w:val="toc 6"/>
    <w:basedOn w:val="Normal"/>
    <w:next w:val="Normal"/>
    <w:pPr>
      <w:tabs>
        <w:tab w:val="clear" w:pos="720"/>
        <w:tab w:val="right" w:pos="9360" w:leader="dot"/>
      </w:tabs>
      <w:spacing w:before="0" w:after="120"/>
      <w:ind w:hanging="720" w:start="4320" w:end="0"/>
    </w:pPr>
    <w:rPr/>
  </w:style>
  <w:style w:type="paragraph" w:styleId="TOC7">
    <w:name w:val="toc 7"/>
    <w:basedOn w:val="Normal"/>
    <w:next w:val="Normal"/>
    <w:pPr>
      <w:tabs>
        <w:tab w:val="clear" w:pos="720"/>
        <w:tab w:val="right" w:pos="9360" w:leader="dot"/>
      </w:tabs>
      <w:spacing w:before="0" w:after="120"/>
      <w:ind w:hanging="720" w:start="5040" w:end="0"/>
    </w:pPr>
    <w:rPr/>
  </w:style>
  <w:style w:type="paragraph" w:styleId="TOC8">
    <w:name w:val="toc 8"/>
    <w:basedOn w:val="Normal"/>
    <w:next w:val="Normal"/>
    <w:pPr>
      <w:tabs>
        <w:tab w:val="clear" w:pos="720"/>
        <w:tab w:val="right" w:pos="9360" w:leader="dot"/>
      </w:tabs>
      <w:spacing w:before="0" w:after="120"/>
      <w:ind w:hanging="720" w:start="5760" w:end="0"/>
    </w:pPr>
    <w:rPr/>
  </w:style>
  <w:style w:type="paragraph" w:styleId="TOC9">
    <w:name w:val="toc 9"/>
    <w:basedOn w:val="Normal"/>
    <w:next w:val="Normal"/>
    <w:pPr>
      <w:tabs>
        <w:tab w:val="clear" w:pos="720"/>
        <w:tab w:val="right" w:pos="9360" w:leader="dot"/>
      </w:tabs>
      <w:spacing w:before="0" w:after="120"/>
      <w:ind w:hanging="720" w:start="648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style>
  <w:style w:type="paragraph" w:styleId="BodyText2">
    <w:name w:val="Body Text 2"/>
    <w:basedOn w:val="Normal"/>
    <w:qFormat/>
    <w:pPr/>
    <w:rPr>
      <w:sz w:val="26"/>
    </w:rPr>
  </w:style>
  <w:style w:type="paragraph" w:styleId="BodyTextIndent">
    <w:name w:val="Body Text Indent"/>
    <w:basedOn w:val="Normal"/>
    <w:pPr>
      <w:ind w:firstLine="720" w:start="0" w:end="0"/>
    </w:pPr>
    <w:rPr>
      <w:sz w:val="26"/>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2001-11-21T18:25:00Z</dcterms:created>
  <dc:creator>cgosain</dc:creator>
  <dc:description/>
  <dc:language>en-CA</dc:language>
  <cp:lastModifiedBy>048</cp:lastModifiedBy>
  <cp:lastPrinted>2001-11-21T15:38:00Z</cp:lastPrinted>
  <dcterms:modified xsi:type="dcterms:W3CDTF">2001-11-21T18:25:00Z</dcterms:modified>
  <cp:revision>2</cp:revision>
  <dc:subject/>
  <dc:title>I</dc:title>
</cp:coreProperties>
</file>