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rFonts w:cs="Times New Roman" w:ascii="Times New Roman" w:hAnsi="Times New Roman"/>
          <w:sz w:val="24"/>
        </w:rPr>
        <w:tab/>
      </w:r>
      <w:r>
        <w:rPr>
          <w:rFonts w:cs="Times New Roman" w:ascii="Times New Roman" w:hAnsi="Times New Roman"/>
          <w:b/>
          <w:bCs/>
          <w:sz w:val="28"/>
          <w:szCs w:val="28"/>
        </w:rPr>
        <w:t>UNITED STATES OF AMERICA</w:t>
      </w:r>
    </w:p>
    <w:p>
      <w:pPr>
        <w:pStyle w:val="Normal"/>
        <w:widowControl/>
        <w:tabs>
          <w:tab w:val="clear" w:pos="720"/>
          <w:tab w:val="center" w:pos="4680" w:leader="none"/>
        </w:tabs>
        <w:jc w:val="both"/>
        <w:rPr>
          <w:rFonts w:ascii="Times New Roman" w:hAnsi="Times New Roman" w:cs="Times New Roman"/>
          <w:sz w:val="24"/>
        </w:rPr>
      </w:pPr>
      <w:r>
        <w:rPr>
          <w:rFonts w:cs="Times New Roman" w:ascii="Times New Roman" w:hAnsi="Times New Roman"/>
          <w:b/>
          <w:bCs/>
          <w:sz w:val="28"/>
          <w:szCs w:val="28"/>
        </w:rPr>
        <w:tab/>
        <w:t>FEDERAL ENERGY REGULATORY COMMISSION</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ind w:hanging="5760" w:start="5760" w:end="0"/>
        <w:jc w:val="both"/>
        <w:rPr>
          <w:rFonts w:ascii="Times New Roman" w:hAnsi="Times New Roman" w:cs="Times New Roman"/>
          <w:sz w:val="24"/>
        </w:rPr>
      </w:pPr>
      <w:r>
        <w:rPr>
          <w:rFonts w:cs="Times New Roman" w:ascii="Times New Roman" w:hAnsi="Times New Roman"/>
          <w:sz w:val="24"/>
        </w:rPr>
        <w:t>San Diego Gas &amp; Electric Company,</w:t>
        <w:tab/>
        <w:tab/>
        <w:t>)</w:t>
        <w:tab/>
        <w:tab/>
        <w:t>Docket No. EL00-95-000</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ind w:firstLine="2160" w:end="0"/>
        <w:jc w:val="both"/>
        <w:rPr>
          <w:rFonts w:ascii="Times New Roman" w:hAnsi="Times New Roman" w:cs="Times New Roman"/>
          <w:sz w:val="24"/>
        </w:rPr>
      </w:pPr>
      <w:r>
        <w:rPr>
          <w:rFonts w:cs="Times New Roman" w:ascii="Times New Roman" w:hAnsi="Times New Roman"/>
          <w:sz w:val="24"/>
        </w:rPr>
        <w:t>Complainant,</w:t>
        <w:tab/>
        <w:tab/>
        <w:t>)</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v.</w:t>
        <w:tab/>
        <w:tab/>
        <w:tab/>
        <w:tab/>
        <w:tab/>
        <w:t>)</w:t>
        <w:tab/>
        <w:tab/>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jc w:val="both"/>
        <w:rPr>
          <w:rFonts w:ascii="Times New Roman" w:hAnsi="Times New Roman" w:cs="Times New Roman"/>
          <w:sz w:val="24"/>
        </w:rPr>
      </w:pPr>
      <w:r>
        <w:rPr>
          <w:rFonts w:cs="Times New Roman" w:ascii="Times New Roman" w:hAnsi="Times New Roman"/>
          <w:sz w:val="24"/>
        </w:rPr>
        <w:t>Sellers of Energy and Ancillary Services</w:t>
        <w:tab/>
        <w:t>)</w:t>
      </w:r>
    </w:p>
    <w:p>
      <w:pPr>
        <w:pStyle w:val="Normal"/>
        <w:widowControl/>
        <w:tabs>
          <w:tab w:val="clear" w:pos="720"/>
          <w:tab w:val="left" w:pos="-1440" w:leader="none"/>
        </w:tabs>
        <w:ind w:hanging="4320" w:start="432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Into Markets Operated by the </w:t>
        <w:tab/>
        <w:tab/>
        <w:t>)</w:t>
      </w:r>
    </w:p>
    <w:p>
      <w:pPr>
        <w:pStyle w:val="Normal"/>
        <w:widowControl/>
        <w:tabs>
          <w:tab w:val="clear" w:pos="720"/>
          <w:tab w:val="left" w:pos="-1440" w:leader="none"/>
        </w:tabs>
        <w:ind w:hanging="4320" w:start="432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California Independent System</w:t>
        <w:tab/>
        <w:tab/>
        <w:t>)</w:t>
      </w:r>
    </w:p>
    <w:p>
      <w:pPr>
        <w:pStyle w:val="Normal"/>
        <w:widowControl/>
        <w:tabs>
          <w:tab w:val="clear" w:pos="720"/>
          <w:tab w:val="left" w:pos="-1440" w:leader="none"/>
        </w:tabs>
        <w:ind w:hanging="3600" w:start="360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Operator and the California</w:t>
        <w:tab/>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Power Exchange,</w:t>
        <w:tab/>
        <w:tab/>
        <w:tab/>
        <w:tab/>
        <w:t>)</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ind w:firstLine="2160" w:end="0"/>
        <w:jc w:val="both"/>
        <w:rPr>
          <w:rFonts w:ascii="Times New Roman" w:hAnsi="Times New Roman" w:cs="Times New Roman"/>
          <w:sz w:val="24"/>
        </w:rPr>
      </w:pPr>
      <w:r>
        <w:rPr>
          <w:rFonts w:cs="Times New Roman" w:ascii="Times New Roman" w:hAnsi="Times New Roman"/>
          <w:sz w:val="24"/>
        </w:rPr>
        <w:t>Respondents.</w:t>
        <w:tab/>
        <w:tab/>
        <w:t>)</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tabs>
          <w:tab w:val="clear" w:pos="720"/>
          <w:tab w:val="left" w:pos="-1440" w:leader="none"/>
        </w:tabs>
        <w:ind w:hanging="5760" w:start="5760" w:end="0"/>
        <w:jc w:val="both"/>
        <w:rPr>
          <w:rFonts w:ascii="Times New Roman" w:hAnsi="Times New Roman" w:cs="Times New Roman"/>
          <w:sz w:val="24"/>
        </w:rPr>
      </w:pPr>
      <w:r>
        <w:rPr>
          <w:rFonts w:cs="Times New Roman" w:ascii="Times New Roman" w:hAnsi="Times New Roman"/>
          <w:sz w:val="24"/>
        </w:rPr>
        <w:t>Investigation of Practices of the California</w:t>
        <w:tab/>
        <w:t>)</w:t>
        <w:tab/>
        <w:tab/>
        <w:t>Docket No. EL00-98-000</w:t>
      </w:r>
    </w:p>
    <w:p>
      <w:pPr>
        <w:pStyle w:val="Normal"/>
        <w:widowControl/>
        <w:tabs>
          <w:tab w:val="clear" w:pos="720"/>
          <w:tab w:val="left" w:pos="-1440" w:leader="none"/>
        </w:tabs>
        <w:ind w:hanging="4320" w:start="432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Independent System Operator</w:t>
        <w:tab/>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and the California Power Exchange</w:t>
        <w:tab/>
        <w:t>)</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tabs>
          <w:tab w:val="clear" w:pos="720"/>
          <w:tab w:val="left" w:pos="-1440" w:leader="none"/>
        </w:tabs>
        <w:ind w:hanging="5760" w:start="5760" w:end="0"/>
        <w:jc w:val="both"/>
        <w:rPr>
          <w:rFonts w:ascii="Times New Roman" w:hAnsi="Times New Roman" w:cs="Times New Roman"/>
          <w:sz w:val="24"/>
        </w:rPr>
      </w:pPr>
      <w:r>
        <w:rPr>
          <w:rFonts w:cs="Times New Roman" w:ascii="Times New Roman" w:hAnsi="Times New Roman"/>
          <w:sz w:val="24"/>
        </w:rPr>
        <w:t>Public Meeting in San Diego, California</w:t>
        <w:tab/>
        <w:t>)</w:t>
        <w:tab/>
        <w:tab/>
        <w:t>Docket No. EL00-107-000</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tabs>
          <w:tab w:val="clear" w:pos="720"/>
          <w:tab w:val="left" w:pos="-1440" w:leader="none"/>
        </w:tabs>
        <w:ind w:hanging="5760" w:start="5760" w:end="0"/>
        <w:jc w:val="both"/>
        <w:rPr>
          <w:rFonts w:ascii="Times New Roman" w:hAnsi="Times New Roman" w:cs="Times New Roman"/>
          <w:sz w:val="24"/>
        </w:rPr>
      </w:pPr>
      <w:r>
        <w:rPr>
          <w:rFonts w:cs="Times New Roman" w:ascii="Times New Roman" w:hAnsi="Times New Roman"/>
          <w:sz w:val="24"/>
        </w:rPr>
        <w:t>California Power Exchange Corporation</w:t>
        <w:tab/>
        <w:t>)</w:t>
        <w:tab/>
        <w:tab/>
        <w:t>Docket No. ER00-3461-000</w:t>
      </w:r>
    </w:p>
    <w:p>
      <w:pPr>
        <w:pStyle w:val="Normal"/>
        <w:widowControl/>
        <w:ind w:firstLine="4320" w:end="0"/>
        <w:jc w:val="both"/>
        <w:rPr>
          <w:rFonts w:ascii="Times New Roman" w:hAnsi="Times New Roman" w:cs="Times New Roman"/>
          <w:sz w:val="24"/>
        </w:rPr>
      </w:pPr>
      <w:r>
        <w:rPr>
          <w:rFonts w:cs="Times New Roman" w:ascii="Times New Roman" w:hAnsi="Times New Roman"/>
          <w:sz w:val="24"/>
        </w:rPr>
        <w:t>)</w:t>
      </w:r>
    </w:p>
    <w:p>
      <w:pPr>
        <w:pStyle w:val="Normal"/>
        <w:widowControl/>
        <w:tabs>
          <w:tab w:val="clear" w:pos="720"/>
          <w:tab w:val="left" w:pos="-1440" w:leader="none"/>
        </w:tabs>
        <w:ind w:hanging="5760" w:start="5760" w:end="0"/>
        <w:jc w:val="both"/>
        <w:rPr>
          <w:rFonts w:ascii="Times New Roman" w:hAnsi="Times New Roman" w:cs="Times New Roman"/>
          <w:sz w:val="24"/>
        </w:rPr>
      </w:pPr>
      <w:r>
        <w:rPr>
          <w:rFonts w:cs="Times New Roman" w:ascii="Times New Roman" w:hAnsi="Times New Roman"/>
          <w:sz w:val="24"/>
        </w:rPr>
        <w:t>California Independent System Operator</w:t>
        <w:tab/>
        <w:t>)</w:t>
        <w:tab/>
        <w:tab/>
        <w:t>Docket No. ER00-3673-000</w:t>
      </w:r>
    </w:p>
    <w:p>
      <w:pPr>
        <w:pStyle w:val="Normal"/>
        <w:widowControl/>
        <w:tabs>
          <w:tab w:val="clear" w:pos="720"/>
          <w:tab w:val="left" w:pos="-1440" w:leader="none"/>
        </w:tabs>
        <w:ind w:hanging="3600" w:start="4320" w:end="0"/>
        <w:jc w:val="both"/>
        <w:rPr>
          <w:rFonts w:ascii="Times New Roman" w:hAnsi="Times New Roman" w:cs="Times New Roman"/>
          <w:sz w:val="24"/>
        </w:rPr>
      </w:pPr>
      <w:r>
        <w:rPr>
          <w:rFonts w:cs="Times New Roman" w:ascii="Times New Roman" w:hAnsi="Times New Roman"/>
          <w:sz w:val="24"/>
        </w:rPr>
        <w:t>Corporation</w:t>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____________________________________)</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center" w:pos="4680" w:leader="none"/>
        </w:tabs>
        <w:jc w:val="both"/>
        <w:rPr/>
      </w:pPr>
      <w:r>
        <w:rPr>
          <w:rFonts w:cs="Times New Roman" w:ascii="Times New Roman" w:hAnsi="Times New Roman"/>
          <w:sz w:val="24"/>
        </w:rPr>
        <w:tab/>
      </w:r>
      <w:r>
        <w:rPr>
          <w:rFonts w:cs="Times New Roman" w:ascii="Times New Roman" w:hAnsi="Times New Roman"/>
          <w:sz w:val="28"/>
          <w:szCs w:val="28"/>
        </w:rPr>
        <w:t xml:space="preserve">COMMENTS OF STEVEN J. KEAN </w:t>
      </w:r>
    </w:p>
    <w:p>
      <w:pPr>
        <w:pStyle w:val="Normal"/>
        <w:widowControl/>
        <w:tabs>
          <w:tab w:val="clear" w:pos="720"/>
          <w:tab w:val="center" w:pos="4680" w:leader="none"/>
        </w:tabs>
        <w:jc w:val="both"/>
        <w:rPr>
          <w:rFonts w:ascii="Times New Roman" w:hAnsi="Times New Roman" w:cs="Times New Roman"/>
          <w:sz w:val="24"/>
        </w:rPr>
      </w:pPr>
      <w:r>
        <w:rPr>
          <w:rFonts w:cs="Times New Roman" w:ascii="Times New Roman" w:hAnsi="Times New Roman"/>
          <w:sz w:val="28"/>
          <w:szCs w:val="28"/>
        </w:rPr>
        <w:tab/>
        <w:t>ON BEHALF OF ENRON POWER MARKETING, INC.</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Pursuant to the Commission's November 1, 2000, notice in the captioned dockets, Enron Power Marketing, Inc. ("EPMI") submits these Comments on the Commission's Order of the same date Proposing Remedies for California Wholesale Electric Markets.  </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EPMI is an active participant in the California energy market.  EPMI applauds the Commission's November 1 decision to intercede in that market.  California authorities, including the stakeholder boards of the Independent System Operator ("CA ISO") and the Power Exchange ("CA PX"), have proven themselves incapable of implementing the fundamental reforms that are required to fix the California market and which are called for in the November 1 order.  Both the November 1 order and the insightful staff report on which it is based, accurately identify the structural causes of California's dysfunctional market.  Moreover, with two exceptions — namely, the imposition of a price cap and a protracted 24 month refund period —the reforms prescribed in the November 1 order are right on target. </w:t>
      </w: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Elimination of the California IOUs' obligation to sell into and buy from the  PX is the right step.  That obligation directly caused excessive reliance on, and exposure to, the spot market.  Spot markets are inherently volatile and should be relied upon, as they are in nearly every other commodity market, only to meet requirements that cannot be satisfied bilaterally in forward contracts.</w:t>
      </w: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The California spot market debacle provides an object lesson that should not be confined to California. Similarly flawed structures either compel or channel bulk energy transactions away from prudent, long-term bilateral contracts and into volatile day-ahead and hour-ahead spot markets in New York, New England and the PJM Interconnection.  It is no wonder that these areas, like California's, have not produced energy markets in which competition, and not price caps, discipline competition.  It is time that the Commission undertake a comprehensive look at the market structures that it has condoned since issuing its open-access orders in 1996 and, wherever appropriate, take steps to encourage forward contracting and discourage excessive reliance on spot markets and administrative price caps.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2160" w:end="0"/>
        <w:jc w:val="both"/>
        <w:rPr>
          <w:rFonts w:ascii="Times New Roman" w:hAnsi="Times New Roman" w:cs="Times New Roman"/>
          <w:sz w:val="24"/>
        </w:rPr>
      </w:pPr>
      <w:r>
        <w:rPr>
          <w:rFonts w:cs="Times New Roman" w:ascii="Times New Roman" w:hAnsi="Times New Roman"/>
          <w:sz w:val="24"/>
        </w:rPr>
        <w:t>EPMI also supports the Commission's directive that the CA ISO and CA PX stakeholder boards be promptly replaced with independent, non-stakeholder boards.  For whatever reason, the stakeholder boards in California have been plagued by paralysis and inertia.  In accordance with the Commission's promotion of independent, regional transmission organizations, the successor independent non-stakeholder board of the CA ISO should be required to possess all of the authority required of an RTO.  This authority should include complete control over short-term reliability, including congestion and parallel path management and the offering of a process whereby market participants can net their imbalances.</w:t>
      </w:r>
    </w:p>
    <w:p>
      <w:pPr>
        <w:pStyle w:val="Normal"/>
        <w:widowControl/>
        <w:spacing w:lineRule="auto" w:line="480"/>
        <w:ind w:firstLine="1440" w:end="0"/>
        <w:jc w:val="both"/>
        <w:rPr>
          <w:rFonts w:ascii="Times New Roman" w:hAnsi="Times New Roman" w:cs="Times New Roman"/>
          <w:sz w:val="24"/>
        </w:rPr>
      </w:pPr>
      <w:r>
        <w:rPr>
          <w:rFonts w:cs="Times New Roman" w:ascii="Times New Roman" w:hAnsi="Times New Roman"/>
          <w:sz w:val="24"/>
        </w:rPr>
        <w:t xml:space="preserve">One additional reform not contemplated in the November 1 order, but which EPMI urges the Commission to embrace in a future order, would direct the CA ISO to release more information to the public.  In particular, among other things, CA ISO should publish disaggregated information on available transmission capacity, congestion management calculations, the target price mechanism, bids, and information about out-of-market calls. </w:t>
      </w: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These reforms should put the California markets on track to operate efficiently and reliably, no longer subject to the wild price gyrations of the recent past.  This is not to say that the Commission, acting alone, can cure all that ails the California energy market.  To the contrary, California authorities must take steps to expedite the addition of a diverse portfolio of new generating capacity, particularly peaking capacity in the near term.  California also must take steps to encourage demand responsiveness so that load can be paid to go off line when supply becomes constrained.  Indeed, development of responsive demand is one of California's best near-term option for bringing supply and demand more closely in balance.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Lamentably, the good done by the structural reforms prescribed in the November 1 order is  directly threatened by the wholesale market price cap and protracted refund period proposed in the order.  In the first place, a price cap and refund period for all wholesales into the California market are not needed to protect California consumers.  Instead of the proposed wholesale price cap, California can solicit retail service providers to offer fixed-price service for all loads that are deemed to require this protection, for example residential and possibly small commercial loads. This would have the effect of capping retail prices.  The suppliers who provide this service, in turn, will hedge their own exposure through forward contracting, as encouraged in the November 1 order.  The forward market is competitive, liquid and not susceptible to the volatility of the day-ahead and hour-ahead markets.  Accordingly, there is no need for a refund effective date for sales into the forward market.</w:t>
      </w: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In addition to being unnecessary, the price cap and refund period are also squarely at war with what should be both the Commission's and California's primary objectives: adding generation capability, particularly peaking capacity and encouraging demand response programs.  In the first place, the $150 per megawatt hour price (MWh)is a price cap in the eye of investors, irrespective of whether the Commission describes it as "soft" or "hard."  Peaking units run during only a limited number of hours per year.  Consequently, they require significantly higher prices in order to recover their capital and operating costs during a reasonable period of time.  If prices at or above $150 per MWh for generation from peaking units are to be submitted to and second guessed by the Commission, as proposed in the November 1 order, then there simply will be no new investment in this type of capacity, which is exactly the type of capacity that California so urgently requires.  In fact, it has been reported that at least 300 MW of peaking capacity that was on the drawing board when the November 1 order was issued has since been taken off of the drawing board.</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sz w:val="24"/>
        </w:rPr>
        <w:t xml:space="preserve">In a more general sense, the combination of the proposed $150 per MWh price cap and refund period will put a damper on enthusiasm for all new investment in generating capacity and in demand responsiveness programs.  The cap and refund period are necessarily viewed by lenders and investors in the context of the Commission's finding in the November 1 order that certain energy prices during last summer were unjust and unreasonable for purposes of the Federal Power Act.  Nowhere is it explained why or against what standard or measure this finding was made.  This, however,  is not a matter of </w:t>
      </w:r>
      <w:r>
        <w:rPr>
          <w:rFonts w:cs="Times New Roman" w:ascii="Times New Roman" w:hAnsi="Times New Roman"/>
          <w:i/>
          <w:iCs/>
          <w:sz w:val="24"/>
        </w:rPr>
        <w:t>res ipsa loquitur</w:t>
      </w:r>
      <w:r>
        <w:rPr>
          <w:rFonts w:cs="Times New Roman" w:ascii="Times New Roman" w:hAnsi="Times New Roman"/>
          <w:sz w:val="24"/>
        </w:rPr>
        <w:t xml:space="preserve">; rather, this Delphic pronouncement is a source of serious concern that the Commission plans to intervene in markets to adjust prices after the fact for no discernable reason other than prices being high.  There may be good reasons for high prices, such as those detailed in the staff report.  Declaring that certain prices last summer were unjust and unreasonable and, coupling that declaration with a none-too-veiled threat that any sales into the California market during the following 24 months may likewise be deemed unjust and unreasonable and ordered to be refunded, will make investing and doing business in California subject to intolerable uncertainty. </w:t>
      </w:r>
    </w:p>
    <w:p>
      <w:pPr>
        <w:pStyle w:val="Normal"/>
        <w:widowControl/>
        <w:spacing w:lineRule="auto" w:line="480"/>
        <w:ind w:firstLine="720" w:end="0"/>
        <w:jc w:val="both"/>
        <w:rPr>
          <w:rFonts w:ascii="Times New Roman" w:hAnsi="Times New Roman" w:cs="Times New Roman"/>
          <w:sz w:val="24"/>
        </w:rPr>
      </w:pPr>
      <w:r>
        <w:rPr>
          <w:rFonts w:cs="Times New Roman" w:ascii="Times New Roman" w:hAnsi="Times New Roman"/>
          <w:sz w:val="24"/>
        </w:rPr>
        <w:t>In conclusion, EPMI strongly supports the Commission's decision to take charge of the California wholesale energy and transmission markets.  They are sorely in need of the structural reforms that the Commission proposes in the November 1 order.  Prompt implementation of those reforms will bring efficiency and lower prices to California.  In contrast, wholesale price caps and a prolonged period of refund uncertainty are not needed and, indeed, will undo the good that will otherwise be accomplished by the prescribed structural reforms.</w:t>
      </w:r>
    </w:p>
    <w:p>
      <w:pPr>
        <w:pStyle w:val="Normal"/>
        <w:widowControl/>
        <w:tabs>
          <w:tab w:val="clear" w:pos="720"/>
          <w:tab w:val="center" w:pos="4680" w:leader="none"/>
        </w:tabs>
        <w:spacing w:lineRule="auto" w:line="480"/>
        <w:jc w:val="both"/>
        <w:rPr>
          <w:rFonts w:ascii="Times New Roman" w:hAnsi="Times New Roman" w:cs="Times New Roman"/>
          <w:sz w:val="24"/>
        </w:rPr>
      </w:pPr>
      <w:r>
        <w:rPr>
          <w:rFonts w:cs="Times New Roman" w:ascii="Times New Roman" w:hAnsi="Times New Roman"/>
          <w:sz w:val="24"/>
        </w:rPr>
        <w:tab/>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Courier New" w:hAnsi="Courier;Courier New" w:eastAsia="Times New Roman" w:cs="Courier;Courier New"/>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2000-11-10T18:28:00Z</dcterms:created>
  <dc:creator>mpetroch</dc:creator>
  <dc:description/>
  <dc:language>en-CA</dc:language>
  <cp:lastModifiedBy>mpetroch</cp:lastModifiedBy>
  <dcterms:modified xsi:type="dcterms:W3CDTF">2000-11-10T18:28:00Z</dcterms:modified>
  <cp:revision>2</cp:revision>
  <dc:subject/>
  <dc:title/>
</cp:coreProperties>
</file>