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20" w:end="0"/>
        <w:jc w:val="both"/>
        <w:rPr>
          <w:sz w:val="26"/>
        </w:rPr>
      </w:pPr>
      <w:r>
        <w:rPr>
          <w:sz w:val="26"/>
        </w:rPr>
        <w:t xml:space="preserve"> </w:t>
      </w:r>
      <w:r>
        <w:rPr>
          <w:sz w:val="26"/>
        </w:rPr>
        <w:t>(Note: all new language is underscored; all language not underscored is existing law).</w:t>
      </w:r>
    </w:p>
    <w:p>
      <w:pPr>
        <w:pStyle w:val="Normal"/>
        <w:widowControl/>
        <w:jc w:val="both"/>
        <w:rPr>
          <w:sz w:val="26"/>
        </w:rPr>
      </w:pPr>
      <w:r>
        <w:rPr>
          <w:sz w:val="26"/>
        </w:rPr>
      </w:r>
    </w:p>
    <w:p>
      <w:pPr>
        <w:pStyle w:val="Normal"/>
        <w:widowControl/>
        <w:tabs>
          <w:tab w:val="clear" w:pos="720"/>
          <w:tab w:val="left" w:pos="-1440" w:leader="none"/>
        </w:tabs>
        <w:ind w:hanging="720" w:start="720" w:end="0"/>
        <w:jc w:val="both"/>
        <w:rPr>
          <w:b/>
          <w:sz w:val="26"/>
        </w:rPr>
      </w:pPr>
      <w:r>
        <w:rPr>
          <w:b/>
          <w:sz w:val="26"/>
        </w:rPr>
        <w:t>1.</w:t>
        <w:tab/>
        <w:t>Give Deference to Other State and Regional Agencies</w:t>
      </w:r>
    </w:p>
    <w:p>
      <w:pPr>
        <w:pStyle w:val="Normal"/>
        <w:widowControl/>
        <w:jc w:val="both"/>
        <w:rPr>
          <w:b/>
          <w:sz w:val="26"/>
        </w:rPr>
      </w:pPr>
      <w:r>
        <w:rPr>
          <w:b/>
          <w:sz w:val="26"/>
        </w:rPr>
      </w:r>
    </w:p>
    <w:p>
      <w:pPr>
        <w:pStyle w:val="Normal"/>
        <w:widowControl/>
        <w:ind w:firstLine="720" w:end="0"/>
        <w:jc w:val="both"/>
        <w:rPr>
          <w:sz w:val="26"/>
        </w:rPr>
      </w:pPr>
      <w:r>
        <w:rPr>
          <w:sz w:val="26"/>
        </w:rPr>
        <w:t>The following section shall be added to the Public Resources Code:</w:t>
      </w:r>
    </w:p>
    <w:p>
      <w:pPr>
        <w:pStyle w:val="Normal"/>
        <w:widowControl/>
        <w:jc w:val="both"/>
        <w:rPr>
          <w:sz w:val="26"/>
        </w:rPr>
      </w:pPr>
      <w:r>
        <w:rPr>
          <w:sz w:val="26"/>
        </w:rPr>
      </w:r>
    </w:p>
    <w:p>
      <w:pPr>
        <w:pStyle w:val="Normal"/>
        <w:widowControl/>
        <w:ind w:firstLine="720" w:end="0"/>
        <w:jc w:val="both"/>
        <w:rPr>
          <w:b/>
          <w:sz w:val="26"/>
        </w:rPr>
      </w:pPr>
      <w:r>
        <w:rPr>
          <w:sz w:val="26"/>
        </w:rPr>
        <w:t xml:space="preserve">Section 25523.1   </w:t>
      </w:r>
      <w:r>
        <w:rPr>
          <w:sz w:val="26"/>
          <w:u w:val="single"/>
        </w:rPr>
        <w:t>Deference to Specified State and Federal Agencies</w:t>
      </w:r>
    </w:p>
    <w:p>
      <w:pPr>
        <w:pStyle w:val="Normal"/>
        <w:widowControl/>
        <w:jc w:val="both"/>
        <w:rPr>
          <w:b/>
          <w:sz w:val="26"/>
        </w:rPr>
      </w:pPr>
      <w:r>
        <w:rPr>
          <w:b/>
          <w:sz w:val="26"/>
        </w:rPr>
      </w:r>
    </w:p>
    <w:p>
      <w:pPr>
        <w:sectPr>
          <w:type w:val="nextPage"/>
          <w:pgSz w:w="12240" w:h="15840"/>
          <w:pgMar w:left="1440" w:right="1440" w:gutter="0" w:header="0" w:top="720" w:footer="0" w:bottom="1440"/>
          <w:pgNumType w:fmt="decimal"/>
          <w:formProt w:val="false"/>
          <w:textDirection w:val="lrTb"/>
          <w:docGrid w:type="default" w:linePitch="360" w:charSpace="0"/>
        </w:sectPr>
      </w:pPr>
    </w:p>
    <w:p>
      <w:pPr>
        <w:pStyle w:val="Normal"/>
        <w:widowControl/>
        <w:ind w:firstLine="720" w:end="0"/>
        <w:jc w:val="both"/>
        <w:rPr>
          <w:sz w:val="26"/>
          <w:u w:val="single"/>
        </w:rPr>
      </w:pPr>
      <w:r>
        <w:rPr>
          <w:sz w:val="26"/>
          <w:u w:val="single"/>
        </w:rPr>
        <w:t xml:space="preserve">(a) Notwithstanding any other provision of this Chapter or of Division 13 [CEQA], the Commission shall not impose any condition described in this section in its decision on an application for certification unless the Commission unanimously makes the findings set forth in subsection (b). The Commission shall not impose conditions regarding air quality more restrictive than the conditions required by the local air pollution control district, the California Air Resources Board or the United States Environmental Protection Agency in a determination of compliance.  The Commission shall not impose conditions regarding water quality more restrictive than the conditions proposed to the Commission in writing by the Regional Water Quality Control Board or the State Water Resources Control Board. The Commission shall not impose conditions regarding water quantity more restrictive than the conditions proposed to the Commission in writing by the State Water Resources Control Board or other state subdivision with jurisdiction over water quantity. </w:t>
      </w:r>
    </w:p>
    <w:p>
      <w:pPr>
        <w:pStyle w:val="Normal"/>
        <w:widowControl/>
        <w:jc w:val="both"/>
        <w:rPr>
          <w:sz w:val="26"/>
          <w:u w:val="single"/>
        </w:rPr>
      </w:pPr>
      <w:r>
        <w:rPr>
          <w:sz w:val="26"/>
          <w:u w:val="single"/>
        </w:rPr>
      </w:r>
    </w:p>
    <w:p>
      <w:pPr>
        <w:pStyle w:val="Normal"/>
        <w:widowControl/>
        <w:ind w:firstLine="720" w:end="0"/>
        <w:jc w:val="both"/>
        <w:rPr/>
      </w:pPr>
      <w:r>
        <w:rPr>
          <w:sz w:val="26"/>
          <w:u w:val="single"/>
        </w:rPr>
        <w:t>(b)  The Commission may impose a condition otherwise prohibited by subsection (a) provided that by unanimous vote it makes one of the following findings</w:t>
      </w:r>
      <w:r>
        <w:rPr>
          <w:sz w:val="26"/>
        </w:rPr>
        <w:t>:</w:t>
      </w:r>
    </w:p>
    <w:p>
      <w:pPr>
        <w:pStyle w:val="Normal"/>
        <w:widowControl/>
        <w:jc w:val="both"/>
        <w:rPr>
          <w:sz w:val="26"/>
        </w:rPr>
      </w:pPr>
      <w:r>
        <w:rPr>
          <w:sz w:val="26"/>
        </w:rPr>
      </w:r>
    </w:p>
    <w:p>
      <w:pPr>
        <w:pStyle w:val="Normal"/>
        <w:widowControl/>
        <w:ind w:start="1440" w:end="0"/>
        <w:jc w:val="both"/>
        <w:rPr>
          <w:sz w:val="26"/>
        </w:rPr>
      </w:pPr>
      <w:r>
        <w:rPr>
          <w:sz w:val="26"/>
        </w:rPr>
        <w:t>(</w:t>
      </w:r>
      <w:r>
        <w:rPr>
          <w:sz w:val="26"/>
          <w:u w:val="single"/>
        </w:rPr>
        <w:t>1)  the agency described in subsection (a) has failed to propose conditions in a manner consistent with the time allowed for the Commission’s application for certification decision pursuant to this Chapter;</w:t>
      </w:r>
    </w:p>
    <w:p>
      <w:pPr>
        <w:pStyle w:val="Normal"/>
        <w:widowControl/>
        <w:jc w:val="both"/>
        <w:rPr>
          <w:sz w:val="26"/>
        </w:rPr>
      </w:pPr>
      <w:r>
        <w:rPr>
          <w:sz w:val="26"/>
        </w:rPr>
      </w:r>
    </w:p>
    <w:p>
      <w:pPr>
        <w:pStyle w:val="Normal"/>
        <w:widowControl/>
        <w:ind w:start="1440" w:end="0"/>
        <w:jc w:val="both"/>
        <w:rPr/>
      </w:pPr>
      <w:r>
        <w:rPr>
          <w:sz w:val="26"/>
          <w:u w:val="single"/>
        </w:rPr>
        <w:t>(2)  the proposed condition is required by an applicable law other than this Chapter, Division 13 [CEQA] or a law addressed by an agency described in subsection (a);  or</w:t>
      </w:r>
      <w:r>
        <w:rPr>
          <w:sz w:val="26"/>
        </w:rPr>
        <w:t xml:space="preserve"> </w:t>
      </w:r>
    </w:p>
    <w:p>
      <w:pPr>
        <w:pStyle w:val="Normal"/>
        <w:widowControl/>
        <w:jc w:val="both"/>
        <w:rPr>
          <w:sz w:val="26"/>
        </w:rPr>
      </w:pPr>
      <w:r>
        <w:rPr>
          <w:sz w:val="26"/>
        </w:rPr>
      </w:r>
    </w:p>
    <w:p>
      <w:pPr>
        <w:pStyle w:val="Normal"/>
        <w:widowControl/>
        <w:ind w:start="1440" w:end="0"/>
        <w:jc w:val="both"/>
        <w:rPr>
          <w:sz w:val="26"/>
        </w:rPr>
      </w:pPr>
      <w:r>
        <w:rPr>
          <w:sz w:val="26"/>
          <w:u w:val="single"/>
        </w:rPr>
        <w:t>(3) the proposed condition is necessary to prevent clear and substantial harm to the public health and welfare or the environment.</w:t>
      </w:r>
    </w:p>
    <w:p>
      <w:pPr>
        <w:pStyle w:val="Normal"/>
        <w:widowControl/>
        <w:jc w:val="both"/>
        <w:rPr>
          <w:sz w:val="26"/>
        </w:rPr>
      </w:pPr>
      <w:r>
        <w:rPr>
          <w:sz w:val="26"/>
        </w:rPr>
      </w:r>
    </w:p>
    <w:p>
      <w:pPr>
        <w:pStyle w:val="Normal"/>
        <w:widowControl/>
        <w:ind w:firstLine="720" w:end="0"/>
        <w:jc w:val="both"/>
        <w:rPr>
          <w:sz w:val="26"/>
        </w:rPr>
      </w:pPr>
      <w:r>
        <w:rPr>
          <w:sz w:val="26"/>
          <w:u w:val="single"/>
        </w:rPr>
        <w:t>(c)  Nothing in this section shall require the Commission to defer to any city, county or city and county.</w:t>
      </w:r>
    </w:p>
    <w:p>
      <w:pPr>
        <w:pStyle w:val="Normal"/>
        <w:widowControl/>
        <w:jc w:val="both"/>
        <w:rPr>
          <w:sz w:val="26"/>
        </w:rPr>
      </w:pPr>
      <w:r>
        <w:rPr>
          <w:sz w:val="26"/>
        </w:rPr>
      </w:r>
    </w:p>
    <w:p>
      <w:pPr>
        <w:pStyle w:val="Normal"/>
        <w:widowControl/>
        <w:ind w:firstLine="1440" w:end="0"/>
        <w:jc w:val="both"/>
        <w:rPr>
          <w:sz w:val="26"/>
        </w:rPr>
      </w:pPr>
      <w:r>
        <w:rPr>
          <w:sz w:val="26"/>
        </w:rPr>
      </w:r>
    </w:p>
    <w:p>
      <w:pPr>
        <w:pStyle w:val="Normal"/>
        <w:widowControl/>
        <w:tabs>
          <w:tab w:val="clear" w:pos="720"/>
          <w:tab w:val="left" w:pos="-1440" w:leader="none"/>
        </w:tabs>
        <w:ind w:hanging="720" w:start="720" w:end="0"/>
        <w:jc w:val="both"/>
        <w:rPr>
          <w:b/>
          <w:sz w:val="26"/>
        </w:rPr>
      </w:pPr>
      <w:r>
        <w:rPr>
          <w:b/>
          <w:sz w:val="26"/>
        </w:rPr>
        <w:t>2.</w:t>
        <w:tab/>
        <w:t>Consider Positive Environmental and Reliability Impacts of Projects</w:t>
      </w:r>
    </w:p>
    <w:p>
      <w:pPr>
        <w:pStyle w:val="Normal"/>
        <w:widowControl/>
        <w:jc w:val="both"/>
        <w:rPr>
          <w:b/>
          <w:sz w:val="26"/>
        </w:rPr>
      </w:pPr>
      <w:r>
        <w:rPr>
          <w:b/>
          <w:sz w:val="26"/>
        </w:rPr>
      </w:r>
    </w:p>
    <w:p>
      <w:pPr>
        <w:pStyle w:val="Normal"/>
        <w:widowControl/>
        <w:jc w:val="both"/>
        <w:rPr>
          <w:sz w:val="26"/>
        </w:rPr>
      </w:pPr>
      <w:r>
        <w:rPr>
          <w:sz w:val="26"/>
        </w:rPr>
        <w:t>Section 25523 of the Public Resources Code shall be amended as follows:</w:t>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jc w:val="both"/>
        <w:rPr>
          <w:sz w:val="26"/>
        </w:rPr>
      </w:pPr>
      <w:r>
        <w:rPr>
          <w:sz w:val="26"/>
        </w:rPr>
        <w:t>§ 25523. Written decision; contents</w:t>
      </w:r>
    </w:p>
    <w:p>
      <w:pPr>
        <w:pStyle w:val="Normal"/>
        <w:widowControl/>
        <w:jc w:val="both"/>
        <w:rPr>
          <w:sz w:val="26"/>
        </w:rPr>
      </w:pPr>
      <w:r>
        <w:rPr>
          <w:sz w:val="26"/>
        </w:rPr>
      </w:r>
    </w:p>
    <w:p>
      <w:pPr>
        <w:pStyle w:val="Normal"/>
        <w:widowControl/>
        <w:jc w:val="both"/>
        <w:rPr>
          <w:sz w:val="26"/>
        </w:rPr>
      </w:pPr>
      <w:r>
        <w:rPr>
          <w:sz w:val="26"/>
        </w:rPr>
        <w:t>The commission shall prepare a written decision after the public hearing on an application, which includes all of the following:</w:t>
      </w:r>
    </w:p>
    <w:p>
      <w:pPr>
        <w:pStyle w:val="Normal"/>
        <w:widowControl/>
        <w:ind w:firstLine="720" w:end="0"/>
        <w:jc w:val="both"/>
        <w:rPr>
          <w:sz w:val="26"/>
        </w:rPr>
      </w:pPr>
      <w:r>
        <w:rPr>
          <w:sz w:val="26"/>
        </w:rPr>
        <w:t>(a) Specific provisions relating to the manner in which the proposed facility is to be designed, sited, and operated in order to protect environmental quality and assure public health and safety.</w:t>
      </w:r>
    </w:p>
    <w:p>
      <w:pPr>
        <w:pStyle w:val="Normal"/>
        <w:widowControl/>
        <w:ind w:firstLine="720" w:end="0"/>
        <w:jc w:val="both"/>
        <w:rPr>
          <w:sz w:val="26"/>
        </w:rPr>
      </w:pPr>
      <w:r>
        <w:rPr>
          <w:sz w:val="26"/>
        </w:rPr>
        <w:t>(b) In the case of a site to be located in the coastal zone, specific provisions to meet the objectives of Division 20 (commencing with Section 30000) as may be specified in the report submitted by the California Coastal Commission pursuant to subdivision (d) of Section 30413, unless the commission specifically finds that the adoption of the provisions specified in the report would result in greater adverse effect on the environment or that the provisions proposed in the report would not be feasible.</w:t>
      </w:r>
    </w:p>
    <w:p>
      <w:pPr>
        <w:pStyle w:val="Normal"/>
        <w:widowControl/>
        <w:ind w:firstLine="720" w:end="0"/>
        <w:jc w:val="both"/>
        <w:rPr>
          <w:sz w:val="26"/>
        </w:rPr>
      </w:pPr>
      <w:r>
        <w:rPr>
          <w:sz w:val="26"/>
        </w:rPr>
        <w:t>(c) In the case of a site to be located in the Suisun Marsh or in the jurisdiction of the San Francisco Bay Conservation and Development Commission, specific provisions to meet the requirements of Division 19 (commencing with Section 29000) of this code or Title 7.2 (commencing with Section 66600) of the Government Code as may be specified in the report submitted by the San Francisco Bay Conservation and Development Commission pursuant to subdivision (d) of Section 66645 of the Government Code, unless the commission specifically finds that the adoption of the provisions specified in the report would result in greater adverse effect on the environment or the provisions proposed in the report would not be feasible.</w:t>
      </w:r>
    </w:p>
    <w:p>
      <w:pPr>
        <w:pStyle w:val="Normal"/>
        <w:widowControl/>
        <w:ind w:start="720" w:end="0"/>
        <w:jc w:val="both"/>
        <w:rPr>
          <w:sz w:val="26"/>
        </w:rPr>
      </w:pPr>
      <w:r>
        <w:rPr>
          <w:sz w:val="26"/>
        </w:rPr>
        <w:t>(d)(1) Findings regarding the conformity of the proposed site and related facilities with standards adopted by the commission pursuant to Section 25216.3 and subdivision (d) of Section 25402, with public safety standards and the applicable air and water quality standards, and with other relevant local, regional, state, and federal standards, ordinances, or laws.   If the commission finds that there is noncompliance with any state, local, or regional ordinance or regulation in the application, it shall consult and meet with the state, local, or regional governmental agency concerned to attempt to correct or eliminate the noncompliance.   If the noncompliance cannot be corrected or eliminated, the commission shall inform the state, local, or regional governmental agency if it makes the findings required by Section 25525.</w:t>
      </w:r>
    </w:p>
    <w:p>
      <w:pPr>
        <w:pStyle w:val="Normal"/>
        <w:widowControl/>
        <w:ind w:start="720" w:end="0"/>
        <w:jc w:val="both"/>
        <w:rPr>
          <w:sz w:val="26"/>
        </w:rPr>
      </w:pPr>
      <w:r>
        <w:rPr>
          <w:sz w:val="26"/>
        </w:rPr>
        <w:t>(2) The commission may not find that the proposed facility conforms with applicable air quality standards pursuant to paragraph (1) unless the applicable air pollution control district or air quality management district certifies that complete emissions offsets for the proposed facility have been identified and will be obtained by the applicant prior to the commission's licensing of the project, to the extent that the proposed facility requires emission offsets to comply with local, regional, state, or federal air quality standards.</w:t>
      </w:r>
    </w:p>
    <w:p>
      <w:pPr>
        <w:pStyle w:val="Normal"/>
        <w:widowControl/>
        <w:ind w:firstLine="720" w:end="0"/>
        <w:jc w:val="both"/>
        <w:rPr>
          <w:sz w:val="26"/>
        </w:rPr>
      </w:pPr>
      <w:r>
        <w:rPr>
          <w:sz w:val="26"/>
        </w:rPr>
        <w:t>(e) Provision for restoring the site as necessary to protect the environment, if the commission denies approval of the application.</w:t>
      </w:r>
    </w:p>
    <w:p>
      <w:pPr>
        <w:pStyle w:val="Normal"/>
        <w:widowControl/>
        <w:ind w:firstLine="720" w:end="0"/>
        <w:jc w:val="both"/>
        <w:rPr>
          <w:sz w:val="26"/>
        </w:rPr>
      </w:pPr>
      <w:r>
        <w:rPr>
          <w:sz w:val="26"/>
        </w:rPr>
        <w:t>(f) In the case of a site and related facility using resource recovery (waste</w:t>
        <w:noBreakHyphen/>
        <w:t>to</w:t>
        <w:noBreakHyphen/>
        <w:t>energy) technology, specific conditions requiring that the facility be monitored to ensure compliance with paragraphs (1), (2), (3), and (6) of subdivision (a) of Section 42315 of the Health and Safety Code.</w:t>
      </w:r>
    </w:p>
    <w:p>
      <w:pPr>
        <w:pStyle w:val="Normal"/>
        <w:widowControl/>
        <w:ind w:firstLine="720" w:end="0"/>
        <w:jc w:val="both"/>
        <w:rPr>
          <w:sz w:val="26"/>
        </w:rPr>
      </w:pPr>
      <w:r>
        <w:rPr>
          <w:sz w:val="26"/>
        </w:rPr>
        <w:t>(g) In the case of a facility, other than a resource recovery facility subject to subdivision (f), specific conditions requiring the facility to be monitored to ensure compliance with toxic air contaminant control measures adopted by an air pollution control district or air quality management district pursuant to subdivision (d) of Section 39666 or Section 41700 of the Health and Safety Code, whether the measures were adopted before or after issuance of a determination of compliance by the district.</w:t>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ind w:firstLine="720" w:end="0"/>
        <w:jc w:val="both"/>
        <w:rPr>
          <w:sz w:val="26"/>
          <w:u w:val="single"/>
        </w:rPr>
      </w:pPr>
      <w:r>
        <w:rPr>
          <w:sz w:val="26"/>
          <w:u w:val="single"/>
        </w:rPr>
        <w:t>(h)  A discussion of any public benefits from the project including, but not limited to, economic benefits, environmental benefits and electric reliability benefits resulting from the modernization of the state’s electric generation infrastructure.</w:t>
      </w:r>
    </w:p>
    <w:p>
      <w:pPr>
        <w:pStyle w:val="Normal"/>
        <w:widowControl/>
        <w:jc w:val="both"/>
        <w:rPr>
          <w:sz w:val="26"/>
          <w:u w:val="single"/>
        </w:rPr>
      </w:pPr>
      <w:r>
        <w:rPr>
          <w:sz w:val="26"/>
          <w:u w:val="single"/>
        </w:rPr>
      </w:r>
    </w:p>
    <w:p>
      <w:pPr>
        <w:pStyle w:val="Normal"/>
        <w:widowControl/>
        <w:tabs>
          <w:tab w:val="clear" w:pos="720"/>
          <w:tab w:val="left" w:pos="-1440" w:leader="none"/>
        </w:tabs>
        <w:ind w:hanging="720" w:start="720" w:end="0"/>
        <w:jc w:val="both"/>
        <w:rPr>
          <w:sz w:val="26"/>
        </w:rPr>
      </w:pPr>
      <w:r>
        <w:rPr>
          <w:b/>
          <w:sz w:val="26"/>
        </w:rPr>
        <w:t>3.</w:t>
        <w:tab/>
        <w:t>Ease Communications Between Applicants and Staff</w:t>
      </w:r>
    </w:p>
    <w:p>
      <w:pPr>
        <w:pStyle w:val="Normal"/>
        <w:widowControl/>
        <w:jc w:val="both"/>
        <w:rPr>
          <w:sz w:val="26"/>
        </w:rPr>
      </w:pPr>
      <w:r>
        <w:rPr>
          <w:sz w:val="26"/>
        </w:rPr>
      </w:r>
    </w:p>
    <w:p>
      <w:pPr>
        <w:pStyle w:val="Normal"/>
        <w:widowControl/>
        <w:jc w:val="both"/>
        <w:rPr>
          <w:sz w:val="26"/>
        </w:rPr>
      </w:pPr>
      <w:r>
        <w:rPr>
          <w:sz w:val="26"/>
        </w:rPr>
        <w:t>Add the following Section 25526 to the Public Resources Code:</w:t>
      </w:r>
    </w:p>
    <w:p>
      <w:pPr>
        <w:pStyle w:val="Normal"/>
        <w:widowControl/>
        <w:jc w:val="both"/>
        <w:rPr>
          <w:sz w:val="26"/>
        </w:rPr>
      </w:pPr>
      <w:r>
        <w:rPr>
          <w:sz w:val="26"/>
        </w:rPr>
      </w:r>
    </w:p>
    <w:p>
      <w:pPr>
        <w:pStyle w:val="Normal"/>
        <w:widowControl/>
        <w:jc w:val="both"/>
        <w:rPr>
          <w:sz w:val="26"/>
          <w:u w:val="single"/>
        </w:rPr>
      </w:pPr>
      <w:r>
        <w:rPr>
          <w:sz w:val="26"/>
          <w:u w:val="single"/>
        </w:rPr>
        <w:t>Section 25526  Ex Parte Contacts</w:t>
      </w:r>
    </w:p>
    <w:p>
      <w:pPr>
        <w:pStyle w:val="Normal"/>
        <w:widowControl/>
        <w:jc w:val="both"/>
        <w:rPr>
          <w:sz w:val="26"/>
          <w:u w:val="single"/>
        </w:rPr>
      </w:pPr>
      <w:r>
        <w:rPr>
          <w:sz w:val="26"/>
          <w:u w:val="single"/>
        </w:rPr>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jc w:val="both"/>
        <w:rPr/>
      </w:pPr>
      <w:r>
        <w:rPr>
          <w:sz w:val="26"/>
          <w:u w:val="single"/>
        </w:rPr>
        <w:t xml:space="preserve">The Commission shall adopt a rule prohibiting </w:t>
      </w:r>
      <w:r>
        <w:rPr>
          <w:i/>
          <w:sz w:val="26"/>
          <w:u w:val="single"/>
        </w:rPr>
        <w:t>ex parte</w:t>
      </w:r>
      <w:r>
        <w:rPr>
          <w:sz w:val="26"/>
          <w:u w:val="single"/>
        </w:rPr>
        <w:t xml:space="preserve"> contacts applicable to any adjudicatory proceeding before the Commission.  The rule shall provide for prompt disclosure of any such contacts that may occur in violation of such prohibition.  This rule shall apply to any contact regarding a substantive, non-procedural matter at issue in the adjudicatory proceeding between any party to the proceeding (including Commission staff) and any Commissioner, Commissioner’s Adviser or Hearing Officer.  The rule shall not restrict </w:t>
      </w:r>
      <w:r>
        <w:rPr>
          <w:i/>
          <w:sz w:val="26"/>
          <w:u w:val="single"/>
        </w:rPr>
        <w:t xml:space="preserve">ex parte </w:t>
      </w:r>
      <w:r>
        <w:rPr>
          <w:sz w:val="26"/>
          <w:u w:val="single"/>
        </w:rPr>
        <w:t xml:space="preserve">exchanges of information among the public and any parties to the proceeding, including </w:t>
      </w:r>
      <w:r>
        <w:rPr>
          <w:i/>
          <w:sz w:val="26"/>
          <w:u w:val="single"/>
        </w:rPr>
        <w:t xml:space="preserve">ex parte </w:t>
      </w:r>
      <w:r>
        <w:rPr>
          <w:sz w:val="26"/>
          <w:u w:val="single"/>
        </w:rPr>
        <w:t>contacts between parties and Commission staff (other than a Commissioner, Commissioner’s Adviser or Hearing Officer), provided that Staff shall docket a written summary of the substance of any such contacts.</w:t>
      </w:r>
      <w:r>
        <w:rPr>
          <w:sz w:val="26"/>
        </w:rPr>
        <w:t xml:space="preserve">         </w:t>
      </w:r>
    </w:p>
    <w:p>
      <w:pPr>
        <w:pStyle w:val="Normal"/>
        <w:widowControl/>
        <w:jc w:val="both"/>
        <w:rPr>
          <w:sz w:val="26"/>
        </w:rPr>
      </w:pPr>
      <w:r>
        <w:rPr>
          <w:sz w:val="26"/>
        </w:rPr>
      </w:r>
    </w:p>
    <w:p>
      <w:pPr>
        <w:pStyle w:val="Normal"/>
        <w:widowControl/>
        <w:tabs>
          <w:tab w:val="clear" w:pos="720"/>
          <w:tab w:val="left" w:pos="-1440" w:leader="none"/>
        </w:tabs>
        <w:ind w:hanging="720" w:start="720" w:end="0"/>
        <w:jc w:val="both"/>
        <w:rPr>
          <w:b/>
          <w:sz w:val="26"/>
        </w:rPr>
      </w:pPr>
      <w:r>
        <w:rPr>
          <w:b/>
          <w:sz w:val="26"/>
        </w:rPr>
        <w:t>4.</w:t>
        <w:tab/>
        <w:t>Permit Local Agencies to Make Zoning Changes or Other Decisions for Power Plants Contingent Upon CEC CEQA Compliance.</w:t>
      </w:r>
    </w:p>
    <w:p>
      <w:pPr>
        <w:pStyle w:val="Normal"/>
        <w:widowControl/>
        <w:jc w:val="both"/>
        <w:rPr>
          <w:b/>
          <w:sz w:val="26"/>
        </w:rPr>
      </w:pPr>
      <w:r>
        <w:rPr>
          <w:b/>
          <w:sz w:val="26"/>
        </w:rPr>
      </w:r>
    </w:p>
    <w:p>
      <w:pPr>
        <w:pStyle w:val="Normal"/>
        <w:widowControl/>
        <w:jc w:val="both"/>
        <w:rPr>
          <w:sz w:val="26"/>
        </w:rPr>
      </w:pPr>
      <w:r>
        <w:rPr>
          <w:sz w:val="26"/>
        </w:rPr>
        <w:t>Amend Public Resources Code Section 25525 as follows:</w:t>
      </w:r>
    </w:p>
    <w:p>
      <w:pPr>
        <w:pStyle w:val="Normal"/>
        <w:widowControl/>
        <w:jc w:val="both"/>
        <w:rPr>
          <w:sz w:val="26"/>
        </w:rPr>
      </w:pPr>
      <w:r>
        <w:rPr>
          <w:sz w:val="26"/>
        </w:rPr>
      </w:r>
    </w:p>
    <w:p>
      <w:pPr>
        <w:pStyle w:val="Normal"/>
        <w:widowControl/>
        <w:ind w:firstLine="720" w:end="0"/>
        <w:jc w:val="both"/>
        <w:rPr/>
      </w:pPr>
      <w:r>
        <w:rPr>
          <w:sz w:val="26"/>
          <w:u w:val="single"/>
        </w:rPr>
        <w:t>(a)  Except as provided in subsection (b),</w:t>
      </w:r>
      <w:r>
        <w:rPr>
          <w:sz w:val="26"/>
        </w:rPr>
        <w:t xml:space="preserve"> the Commission shall not certify any facility contained in the application when if finds, pursuant to subdivision (b) of Section 25523, that the facility does not conform with any applicable state, local, or regional standards, ordinances, or laws, unless the commission determines that such facility is required for public convenience and necessity and that there are not more prudent and feasible means of achieving such public convenience and necessity.  In making the determination, the commission shall consider the entire record of the proceeding, including, but not limited to, the impacts of the facility on the environment, consumer benefits, and electric system reliability.  In no event shall the commission make any finding in conflict with applicable federal law or regulation.  The basis for these findings shall be reduced to writing and submitted as part of the record pursuant to Section 25523.</w:t>
      </w:r>
    </w:p>
    <w:p>
      <w:pPr>
        <w:pStyle w:val="Normal"/>
        <w:widowControl/>
        <w:jc w:val="both"/>
        <w:rPr>
          <w:sz w:val="26"/>
        </w:rPr>
      </w:pPr>
      <w:r>
        <w:rPr>
          <w:sz w:val="26"/>
        </w:rPr>
      </w:r>
    </w:p>
    <w:p>
      <w:pPr>
        <w:pStyle w:val="Normal"/>
        <w:widowControl/>
        <w:ind w:firstLine="720" w:end="0"/>
        <w:jc w:val="both"/>
        <w:rPr>
          <w:sz w:val="26"/>
        </w:rPr>
      </w:pPr>
      <w:r>
        <w:rPr>
          <w:sz w:val="26"/>
          <w:u w:val="single"/>
        </w:rPr>
        <w:t>(b)  The Commission may certify any facility notwithstanding a finding that it fails to conform to a local planning, zoning, height limitation or similar land use designation or restriction upon a finding that such certification is in the public interest.</w:t>
      </w:r>
    </w:p>
    <w:p>
      <w:pPr>
        <w:pStyle w:val="Normal"/>
        <w:widowControl/>
        <w:jc w:val="both"/>
        <w:rPr>
          <w:sz w:val="26"/>
        </w:rPr>
      </w:pPr>
      <w:r>
        <w:rPr>
          <w:sz w:val="26"/>
        </w:rPr>
      </w:r>
    </w:p>
    <w:p>
      <w:pPr>
        <w:pStyle w:val="Normal"/>
        <w:widowControl/>
        <w:jc w:val="both"/>
        <w:rPr>
          <w:sz w:val="26"/>
        </w:rPr>
      </w:pPr>
      <w:r>
        <w:rPr>
          <w:sz w:val="26"/>
        </w:rPr>
      </w:r>
    </w:p>
    <w:p>
      <w:pPr>
        <w:pStyle w:val="Normal"/>
        <w:numPr>
          <w:ilvl w:val="0"/>
          <w:numId w:val="3"/>
        </w:numPr>
        <w:jc w:val="both"/>
        <w:rPr>
          <w:b/>
          <w:sz w:val="26"/>
        </w:rPr>
      </w:pPr>
      <w:r>
        <w:rPr>
          <w:b/>
          <w:sz w:val="26"/>
        </w:rPr>
        <w:t>Assess Limitations on Use and Expansion of Existing Power Plant Sites.</w:t>
      </w:r>
    </w:p>
    <w:p>
      <w:pPr>
        <w:pStyle w:val="Normal"/>
        <w:jc w:val="both"/>
        <w:rPr>
          <w:b/>
          <w:sz w:val="26"/>
        </w:rPr>
      </w:pPr>
      <w:r>
        <w:rPr>
          <w:b/>
          <w:sz w:val="26"/>
        </w:rPr>
      </w:r>
    </w:p>
    <w:p>
      <w:pPr>
        <w:pStyle w:val="Normal"/>
        <w:jc w:val="both"/>
        <w:rPr>
          <w:sz w:val="26"/>
        </w:rPr>
      </w:pPr>
      <w:r>
        <w:rPr>
          <w:sz w:val="26"/>
        </w:rPr>
        <w:t>Add the following Section to the Public Resources Code:</w:t>
      </w:r>
    </w:p>
    <w:p>
      <w:pPr>
        <w:pStyle w:val="Normal"/>
        <w:ind w:start="1440" w:end="0"/>
        <w:jc w:val="both"/>
        <w:rPr>
          <w:sz w:val="26"/>
        </w:rPr>
      </w:pPr>
      <w:r>
        <w:rPr>
          <w:sz w:val="26"/>
        </w:rPr>
      </w:r>
    </w:p>
    <w:p>
      <w:pPr>
        <w:pStyle w:val="Normal"/>
        <w:jc w:val="both"/>
        <w:rPr>
          <w:sz w:val="26"/>
          <w:u w:val="single"/>
        </w:rPr>
      </w:pPr>
      <w:r>
        <w:rPr>
          <w:sz w:val="26"/>
          <w:u w:val="single"/>
        </w:rPr>
        <w:t>Section XXXXX:   Assessment of Existing Power Plant Site .</w:t>
      </w:r>
    </w:p>
    <w:p>
      <w:pPr>
        <w:pStyle w:val="Normal"/>
        <w:ind w:start="1440" w:end="0"/>
        <w:jc w:val="both"/>
        <w:rPr>
          <w:sz w:val="26"/>
          <w:u w:val="single"/>
        </w:rPr>
      </w:pPr>
      <w:r>
        <w:rPr>
          <w:sz w:val="26"/>
          <w:u w:val="single"/>
        </w:rPr>
      </w:r>
    </w:p>
    <w:p>
      <w:pPr>
        <w:pStyle w:val="BodyTextIndent"/>
        <w:ind w:start="0" w:end="0"/>
        <w:jc w:val="both"/>
        <w:rPr>
          <w:sz w:val="26"/>
          <w:u w:val="single"/>
        </w:rPr>
      </w:pPr>
      <w:r>
        <w:rPr>
          <w:sz w:val="26"/>
          <w:u w:val="single"/>
        </w:rPr>
        <w:t xml:space="preserve">No later than 90 days from the effective date of this section, the Resources Secretary, in consultation with the Energy Resources Conservation and Development Commission, shall submit a report to the Legislature and the Governor assessing the following: </w:t>
      </w:r>
    </w:p>
    <w:p>
      <w:pPr>
        <w:pStyle w:val="BodyTextIndent"/>
        <w:jc w:val="both"/>
        <w:rPr>
          <w:sz w:val="26"/>
          <w:u w:val="single"/>
        </w:rPr>
      </w:pPr>
      <w:r>
        <w:rPr>
          <w:sz w:val="26"/>
          <w:u w:val="single"/>
        </w:rPr>
      </w:r>
    </w:p>
    <w:p>
      <w:pPr>
        <w:pStyle w:val="BodyTextIndent"/>
        <w:numPr>
          <w:ilvl w:val="0"/>
          <w:numId w:val="2"/>
        </w:numPr>
        <w:jc w:val="both"/>
        <w:rPr>
          <w:sz w:val="26"/>
          <w:u w:val="single"/>
        </w:rPr>
      </w:pPr>
      <w:r>
        <w:rPr>
          <w:sz w:val="26"/>
          <w:u w:val="single"/>
        </w:rPr>
        <w:t>any legislative or regulatory limitations on the full utilization of existing power plant capacity within the state;</w:t>
      </w:r>
    </w:p>
    <w:p>
      <w:pPr>
        <w:pStyle w:val="BodyTextIndent"/>
        <w:numPr>
          <w:ilvl w:val="0"/>
          <w:numId w:val="2"/>
        </w:numPr>
        <w:jc w:val="both"/>
        <w:rPr>
          <w:sz w:val="26"/>
          <w:u w:val="single"/>
        </w:rPr>
      </w:pPr>
      <w:r>
        <w:rPr>
          <w:sz w:val="26"/>
          <w:u w:val="single"/>
        </w:rPr>
        <w:t xml:space="preserve">proposals for the temporary or permanent elimination or reduction of any such limitations; </w:t>
      </w:r>
    </w:p>
    <w:p>
      <w:pPr>
        <w:pStyle w:val="BodyTextIndent"/>
        <w:numPr>
          <w:ilvl w:val="0"/>
          <w:numId w:val="2"/>
        </w:numPr>
        <w:jc w:val="both"/>
        <w:rPr>
          <w:sz w:val="26"/>
          <w:u w:val="single"/>
        </w:rPr>
      </w:pPr>
      <w:r>
        <w:rPr>
          <w:sz w:val="26"/>
          <w:u w:val="single"/>
        </w:rPr>
        <w:t>an assessment of legislative or regulatory limitations on increasing power plant capacity at existing sites within the state; and</w:t>
      </w:r>
    </w:p>
    <w:p>
      <w:pPr>
        <w:pStyle w:val="BodyTextIndent"/>
        <w:numPr>
          <w:ilvl w:val="0"/>
          <w:numId w:val="2"/>
        </w:numPr>
        <w:jc w:val="both"/>
        <w:rPr>
          <w:sz w:val="26"/>
        </w:rPr>
      </w:pPr>
      <w:r>
        <w:rPr>
          <w:sz w:val="26"/>
          <w:u w:val="single"/>
        </w:rPr>
        <w:t xml:space="preserve"> </w:t>
      </w:r>
      <w:r>
        <w:rPr>
          <w:sz w:val="26"/>
          <w:u w:val="single"/>
        </w:rPr>
        <w:t>proposals for the  temporary or permanent elimination or</w:t>
      </w:r>
      <w:r>
        <w:rPr>
          <w:sz w:val="26"/>
        </w:rPr>
        <w:t xml:space="preserve"> </w:t>
      </w:r>
      <w:r>
        <w:rPr>
          <w:sz w:val="26"/>
          <w:u w:val="single"/>
        </w:rPr>
        <w:t>reduction of such limitations</w:t>
      </w:r>
      <w:r>
        <w:rPr>
          <w:sz w:val="26"/>
        </w:rPr>
        <w:t xml:space="preserve">.  </w:t>
      </w:r>
    </w:p>
    <w:p>
      <w:pPr>
        <w:pStyle w:val="Normal"/>
        <w:jc w:val="both"/>
        <w:rPr>
          <w:b/>
          <w:sz w:val="26"/>
        </w:rPr>
      </w:pPr>
      <w:r>
        <w:rPr>
          <w:b/>
          <w:sz w:val="26"/>
        </w:rPr>
      </w:r>
    </w:p>
    <w:p>
      <w:pPr>
        <w:pStyle w:val="Normal"/>
        <w:numPr>
          <w:ilvl w:val="0"/>
          <w:numId w:val="3"/>
        </w:numPr>
        <w:jc w:val="both"/>
        <w:rPr>
          <w:b/>
          <w:sz w:val="26"/>
        </w:rPr>
      </w:pPr>
      <w:r>
        <w:rPr>
          <w:b/>
          <w:sz w:val="26"/>
        </w:rPr>
        <w:t>Streamline the Permit Process for Modernization of Existing Power Plant Sites</w:t>
      </w:r>
    </w:p>
    <w:p>
      <w:pPr>
        <w:pStyle w:val="Normal"/>
        <w:jc w:val="both"/>
        <w:rPr>
          <w:b/>
          <w:sz w:val="26"/>
        </w:rPr>
      </w:pPr>
      <w:r>
        <w:rPr>
          <w:b/>
          <w:sz w:val="26"/>
        </w:rPr>
      </w:r>
    </w:p>
    <w:p>
      <w:pPr>
        <w:pStyle w:val="BodyTextIndent"/>
        <w:ind w:start="0" w:end="0"/>
        <w:jc w:val="both"/>
        <w:rPr>
          <w:sz w:val="26"/>
        </w:rPr>
      </w:pPr>
      <w:r>
        <w:rPr>
          <w:sz w:val="26"/>
        </w:rPr>
        <w:t>Add the following Sections to the Public Resources Code:</w:t>
      </w:r>
    </w:p>
    <w:p>
      <w:pPr>
        <w:pStyle w:val="Normal"/>
        <w:ind w:start="1440" w:end="0"/>
        <w:jc w:val="both"/>
        <w:rPr>
          <w:sz w:val="26"/>
          <w:u w:val="single"/>
        </w:rPr>
      </w:pPr>
      <w:r>
        <w:rPr>
          <w:sz w:val="26"/>
          <w:u w:val="single"/>
        </w:rPr>
      </w:r>
    </w:p>
    <w:p>
      <w:pPr>
        <w:pStyle w:val="Heading2"/>
        <w:ind w:hanging="0" w:start="0"/>
        <w:jc w:val="both"/>
        <w:rPr>
          <w:sz w:val="26"/>
        </w:rPr>
      </w:pPr>
      <w:r>
        <w:rPr>
          <w:sz w:val="26"/>
        </w:rPr>
        <w:t>Section 252XX:  Repowering Project</w:t>
      </w:r>
    </w:p>
    <w:p>
      <w:pPr>
        <w:pStyle w:val="Normal"/>
        <w:ind w:start="1440" w:end="0"/>
        <w:jc w:val="both"/>
        <w:rPr>
          <w:sz w:val="26"/>
          <w:u w:val="single"/>
        </w:rPr>
      </w:pPr>
      <w:r>
        <w:rPr>
          <w:sz w:val="26"/>
          <w:u w:val="single"/>
        </w:rPr>
      </w:r>
    </w:p>
    <w:p>
      <w:pPr>
        <w:pStyle w:val="BodyTextIndent"/>
        <w:ind w:start="0" w:end="0"/>
        <w:jc w:val="both"/>
        <w:rPr>
          <w:sz w:val="26"/>
        </w:rPr>
      </w:pPr>
      <w:r>
        <w:rPr>
          <w:sz w:val="26"/>
          <w:u w:val="single"/>
        </w:rPr>
        <w:t>A “Repowering Project” as used in this Division shall mean an application for certification filed after the effective date of this Section for a thermal power plant that: a) is located at the site of an existing thermal power plant; b) would comply with all requirements of applicable law; c) would not require substantial new electric or natural gas transmission facilities; d) would not expand the power plant beyond the boundaries of the parcel currently containing the existing power plant; and e) would substantially reduce the average use of natural gas, water and other natural resources for the production of a kilowatt hour of electricity at the site compared to the existing thermal power plant.</w:t>
      </w:r>
    </w:p>
    <w:p>
      <w:pPr>
        <w:pStyle w:val="BodyTextIndent"/>
        <w:jc w:val="both"/>
        <w:rPr>
          <w:sz w:val="26"/>
        </w:rPr>
      </w:pPr>
      <w:r>
        <w:rPr>
          <w:sz w:val="26"/>
        </w:rPr>
      </w:r>
    </w:p>
    <w:p>
      <w:pPr>
        <w:pStyle w:val="BodyTextIndent"/>
        <w:ind w:start="0" w:end="0"/>
        <w:jc w:val="both"/>
        <w:rPr>
          <w:sz w:val="26"/>
        </w:rPr>
      </w:pPr>
      <w:r>
        <w:rPr>
          <w:sz w:val="26"/>
        </w:rPr>
        <w:t>Add the following subsection to Public Resources Code Section 21080(b):</w:t>
      </w:r>
    </w:p>
    <w:p>
      <w:pPr>
        <w:pStyle w:val="BodyTextIndent"/>
        <w:jc w:val="both"/>
        <w:rPr>
          <w:sz w:val="26"/>
        </w:rPr>
      </w:pPr>
      <w:r>
        <w:rPr>
          <w:sz w:val="26"/>
        </w:rPr>
      </w:r>
    </w:p>
    <w:p>
      <w:pPr>
        <w:pStyle w:val="BodyTextIndent"/>
        <w:ind w:start="0" w:end="0"/>
        <w:jc w:val="both"/>
        <w:rPr>
          <w:sz w:val="26"/>
          <w:u w:val="single"/>
        </w:rPr>
      </w:pPr>
      <w:r>
        <w:rPr>
          <w:sz w:val="26"/>
          <w:u w:val="single"/>
        </w:rPr>
        <w:t>(16)   Any Repowering Project that the Energy Resources Conservation and Development Commission has determined meets the definition of Public Resources Code section 252XX.</w:t>
      </w:r>
    </w:p>
    <w:p>
      <w:pPr>
        <w:pStyle w:val="BodyTextIndent"/>
        <w:jc w:val="both"/>
        <w:rPr>
          <w:sz w:val="26"/>
          <w:u w:val="single"/>
        </w:rPr>
      </w:pPr>
      <w:r>
        <w:rPr>
          <w:sz w:val="26"/>
          <w:u w:val="single"/>
        </w:rPr>
      </w:r>
    </w:p>
    <w:p>
      <w:pPr>
        <w:pStyle w:val="BodyTextIndent"/>
        <w:ind w:start="0" w:end="0"/>
        <w:jc w:val="both"/>
        <w:rPr>
          <w:sz w:val="26"/>
        </w:rPr>
      </w:pPr>
      <w:r>
        <w:rPr>
          <w:sz w:val="26"/>
        </w:rPr>
        <w:t>Amend Public Resources Code Section 25550(a) as follows:</w:t>
      </w:r>
    </w:p>
    <w:p>
      <w:pPr>
        <w:pStyle w:val="BodyTextIndent"/>
        <w:jc w:val="both"/>
        <w:rPr>
          <w:sz w:val="26"/>
        </w:rPr>
      </w:pPr>
      <w:r>
        <w:rPr>
          <w:sz w:val="26"/>
        </w:rPr>
      </w:r>
    </w:p>
    <w:p>
      <w:pPr>
        <w:pStyle w:val="BodyTextIndent"/>
        <w:ind w:firstLine="360" w:start="0" w:end="0"/>
        <w:jc w:val="both"/>
        <w:rPr/>
      </w:pPr>
      <w:r>
        <w:rPr>
          <w:sz w:val="26"/>
        </w:rPr>
        <w:t xml:space="preserve">(a)   Notwithstanding subdivision (a) of Section 25522, and Section 25540.6 the commission shall establish a process to issue its final certification for any thermal powerplant and related facilities within six months after the filing of the application for certification that, on the basis of an initial review, shows that there is substantial evidence that the project will not cause a significant adverse impact on the environment or electrical system and will comply with all applicable standards, ordinances or laws.  </w:t>
      </w:r>
      <w:r>
        <w:rPr>
          <w:sz w:val="26"/>
          <w:u w:val="single"/>
        </w:rPr>
        <w:t xml:space="preserve">Any Repowering Project as defined in Section 252XX for which an application is filed after January 1, 2001, and prior to January 1, 2004, shall be eligible for expedited licensing under this section.  </w:t>
      </w:r>
      <w:r>
        <w:rPr>
          <w:sz w:val="26"/>
        </w:rPr>
        <w:t>For the purposes of this section, filing has the same meaning as in Section 25522.</w:t>
      </w:r>
    </w:p>
    <w:p>
      <w:pPr>
        <w:pStyle w:val="Normal"/>
        <w:jc w:val="both"/>
        <w:rPr>
          <w:b/>
          <w:sz w:val="26"/>
        </w:rPr>
      </w:pPr>
      <w:r>
        <w:rPr>
          <w:b/>
          <w:sz w:val="26"/>
        </w:rPr>
      </w:r>
    </w:p>
    <w:p>
      <w:pPr>
        <w:pStyle w:val="Normal"/>
        <w:numPr>
          <w:ilvl w:val="0"/>
          <w:numId w:val="3"/>
        </w:numPr>
        <w:jc w:val="both"/>
        <w:rPr>
          <w:b/>
          <w:sz w:val="26"/>
        </w:rPr>
      </w:pPr>
      <w:r>
        <w:rPr>
          <w:b/>
          <w:sz w:val="26"/>
        </w:rPr>
        <w:t>Improve Timeliness and Coordination of State and Local Agency Reviews</w:t>
      </w:r>
    </w:p>
    <w:p>
      <w:pPr>
        <w:pStyle w:val="Normal"/>
        <w:tabs>
          <w:tab w:val="clear" w:pos="720"/>
          <w:tab w:val="left" w:pos="1440" w:leader="none"/>
        </w:tabs>
        <w:jc w:val="both"/>
        <w:rPr>
          <w:b/>
          <w:sz w:val="26"/>
        </w:rPr>
      </w:pPr>
      <w:r>
        <w:rPr>
          <w:b/>
          <w:sz w:val="26"/>
        </w:rPr>
      </w:r>
    </w:p>
    <w:p>
      <w:pPr>
        <w:pStyle w:val="BodyTextIndent"/>
        <w:ind w:start="0" w:end="0"/>
        <w:jc w:val="both"/>
        <w:rPr>
          <w:b/>
          <w:sz w:val="26"/>
        </w:rPr>
      </w:pPr>
      <w:r>
        <w:rPr>
          <w:sz w:val="26"/>
        </w:rPr>
        <w:t>Amend Public Resources Code Section 25506 as follows:</w:t>
      </w:r>
    </w:p>
    <w:p>
      <w:pPr>
        <w:pStyle w:val="Normal"/>
        <w:tabs>
          <w:tab w:val="clear" w:pos="720"/>
          <w:tab w:val="left" w:pos="1440" w:leader="none"/>
        </w:tabs>
        <w:ind w:start="1440" w:end="0"/>
        <w:jc w:val="both"/>
        <w:rPr>
          <w:b/>
          <w:sz w:val="26"/>
        </w:rPr>
      </w:pPr>
      <w:r>
        <w:rPr>
          <w:b/>
          <w:sz w:val="26"/>
        </w:rPr>
      </w:r>
    </w:p>
    <w:p>
      <w:pPr>
        <w:pStyle w:val="BodyTextIndent"/>
        <w:ind w:start="0" w:end="0"/>
        <w:jc w:val="both"/>
        <w:rPr>
          <w:sz w:val="26"/>
        </w:rPr>
      </w:pPr>
      <w:r>
        <w:rPr>
          <w:sz w:val="26"/>
        </w:rPr>
        <w:t>Section 25506. Comments and recommendations; governmental agencies</w:t>
      </w:r>
    </w:p>
    <w:p>
      <w:pPr>
        <w:pStyle w:val="BodyTextIndent"/>
        <w:ind w:firstLine="720" w:start="0" w:end="0"/>
        <w:jc w:val="both"/>
        <w:rPr/>
      </w:pPr>
      <w:r>
        <w:rPr>
          <w:sz w:val="26"/>
          <w:u w:val="single"/>
        </w:rPr>
        <w:t xml:space="preserve">(a) </w:t>
      </w:r>
      <w:r>
        <w:rPr>
          <w:sz w:val="26"/>
        </w:rPr>
        <w:t>The commission shall request the appropriate local, regional, state, and federal agencies to make comments and recommendations regarding the design, operation, and location of the facilities designated in the notice, in relation to environmental quality, public health and safety, and other factors on which they may have expertise.</w:t>
      </w:r>
    </w:p>
    <w:p>
      <w:pPr>
        <w:pStyle w:val="BodyTextIndent"/>
        <w:ind w:firstLine="720" w:start="0" w:end="0"/>
        <w:jc w:val="both"/>
        <w:rPr>
          <w:sz w:val="26"/>
          <w:u w:val="single"/>
        </w:rPr>
      </w:pPr>
      <w:r>
        <w:rPr>
          <w:sz w:val="26"/>
          <w:u w:val="single"/>
        </w:rPr>
        <w:t xml:space="preserve">(b) Local jurisdictions shall file a preliminary list of issues regarding the design, operation, location and financial impacts of the facility with the commission no later than 45 days after the filing of an application for certification, and shall provide a final list with the commission no later than 90 days after the filing of an application for certification.  The local jurisdiction shall clearly identify the nexus between the claimed impacts and the attributes of the project and this nexus should be the basis of any agreements between the applicant and the local jurisdiction. </w:t>
      </w:r>
    </w:p>
    <w:p>
      <w:pPr>
        <w:pStyle w:val="Normal"/>
        <w:ind w:start="1440" w:end="0"/>
        <w:jc w:val="both"/>
        <w:rPr>
          <w:sz w:val="26"/>
          <w:u w:val="single"/>
        </w:rPr>
      </w:pPr>
      <w:r>
        <w:rPr>
          <w:sz w:val="26"/>
          <w:u w:val="single"/>
        </w:rPr>
      </w:r>
    </w:p>
    <w:p>
      <w:pPr>
        <w:pStyle w:val="BodyTextIndent"/>
        <w:ind w:start="0" w:end="0"/>
        <w:jc w:val="both"/>
        <w:rPr/>
      </w:pPr>
      <w:r>
        <w:rPr>
          <w:sz w:val="26"/>
        </w:rPr>
        <w:t>Add the following Section to the Public Resources Code:</w:t>
      </w:r>
    </w:p>
    <w:p>
      <w:pPr>
        <w:pStyle w:val="Normal"/>
        <w:ind w:start="1440" w:end="0"/>
        <w:jc w:val="both"/>
        <w:rPr>
          <w:sz w:val="26"/>
        </w:rPr>
      </w:pPr>
      <w:r>
        <w:rPr>
          <w:sz w:val="26"/>
        </w:rPr>
      </w:r>
    </w:p>
    <w:p>
      <w:pPr>
        <w:pStyle w:val="BodyTextIndent"/>
        <w:ind w:start="0" w:end="0"/>
        <w:jc w:val="both"/>
        <w:rPr>
          <w:sz w:val="26"/>
          <w:u w:val="single"/>
        </w:rPr>
      </w:pPr>
      <w:r>
        <w:rPr>
          <w:sz w:val="26"/>
          <w:u w:val="single"/>
        </w:rPr>
        <w:t>Section 25513.5 Delay of Final report; reporting requirements</w:t>
      </w:r>
    </w:p>
    <w:p>
      <w:pPr>
        <w:pStyle w:val="BodyTextIndent"/>
        <w:ind w:start="0" w:end="0"/>
        <w:jc w:val="both"/>
        <w:rPr>
          <w:sz w:val="26"/>
          <w:u w:val="single"/>
        </w:rPr>
      </w:pPr>
      <w:r>
        <w:rPr>
          <w:sz w:val="26"/>
          <w:u w:val="single"/>
        </w:rPr>
      </w:r>
    </w:p>
    <w:p>
      <w:pPr>
        <w:pStyle w:val="BodyTextIndent"/>
        <w:ind w:start="0" w:end="0"/>
        <w:jc w:val="both"/>
        <w:rPr/>
      </w:pPr>
      <w:r>
        <w:rPr>
          <w:sz w:val="26"/>
          <w:u w:val="single"/>
        </w:rPr>
        <w:t>All commission decisions that will delay or have the potential to delay the issuance of a final report by more than 15 days shall be documented and sent to the Governor’s Office.</w:t>
      </w:r>
    </w:p>
    <w:p>
      <w:pPr>
        <w:pStyle w:val="Normal"/>
        <w:ind w:start="1440" w:end="0"/>
        <w:jc w:val="both"/>
        <w:rPr>
          <w:sz w:val="26"/>
          <w:u w:val="single"/>
        </w:rPr>
      </w:pPr>
      <w:r>
        <w:rPr>
          <w:sz w:val="26"/>
          <w:u w:val="single"/>
        </w:rPr>
      </w:r>
    </w:p>
    <w:p>
      <w:pPr>
        <w:pStyle w:val="BodyTextIndent"/>
        <w:ind w:start="0" w:end="0"/>
        <w:jc w:val="both"/>
        <w:rPr>
          <w:sz w:val="26"/>
        </w:rPr>
      </w:pPr>
      <w:r>
        <w:rPr>
          <w:sz w:val="26"/>
        </w:rPr>
        <w:t>Amend Public Resources Code Section 25514 as follows:</w:t>
      </w:r>
    </w:p>
    <w:p>
      <w:pPr>
        <w:pStyle w:val="Normal"/>
        <w:ind w:start="1440" w:end="0"/>
        <w:jc w:val="both"/>
        <w:rPr>
          <w:sz w:val="26"/>
        </w:rPr>
      </w:pPr>
      <w:r>
        <w:rPr>
          <w:sz w:val="26"/>
        </w:rPr>
      </w:r>
    </w:p>
    <w:p>
      <w:pPr>
        <w:pStyle w:val="BodyTextIndent"/>
        <w:ind w:start="0" w:end="0"/>
        <w:jc w:val="both"/>
        <w:rPr>
          <w:sz w:val="26"/>
        </w:rPr>
      </w:pPr>
      <w:r>
        <w:rPr>
          <w:sz w:val="26"/>
        </w:rPr>
        <w:t>Section 25514. Final report; contents</w:t>
      </w:r>
    </w:p>
    <w:p>
      <w:pPr>
        <w:pStyle w:val="Normal"/>
        <w:ind w:start="1440" w:end="0"/>
        <w:jc w:val="both"/>
        <w:rPr>
          <w:sz w:val="26"/>
        </w:rPr>
      </w:pPr>
      <w:r>
        <w:rPr>
          <w:sz w:val="26"/>
        </w:rPr>
      </w:r>
    </w:p>
    <w:p>
      <w:pPr>
        <w:pStyle w:val="BodyTextIndent"/>
        <w:ind w:start="0" w:end="0"/>
        <w:jc w:val="both"/>
        <w:rPr>
          <w:sz w:val="26"/>
        </w:rPr>
      </w:pPr>
      <w:r>
        <w:rPr>
          <w:sz w:val="26"/>
        </w:rPr>
        <w:t>After conclusion of the hearings held pursuant to Section 25513 and no later than 300 days after the filing of the notice, a final report shall be prepared and distributed. The final report shall include, but not be limited to, all of the following:</w:t>
      </w:r>
    </w:p>
    <w:p>
      <w:pPr>
        <w:pStyle w:val="BodyTextIndent"/>
        <w:ind w:firstLine="720" w:start="0" w:end="0"/>
        <w:jc w:val="both"/>
        <w:rPr>
          <w:sz w:val="26"/>
        </w:rPr>
      </w:pPr>
      <w:r>
        <w:rPr>
          <w:sz w:val="26"/>
        </w:rPr>
        <w:t>(a) The findings and conclusions of the commission regarding the conformity of alternative sites and related facilities designated in the notice or considered in the notice of intention proceeding with both of the following:</w:t>
      </w:r>
    </w:p>
    <w:p>
      <w:pPr>
        <w:pStyle w:val="BodyTextIndent"/>
        <w:ind w:firstLine="720" w:start="720" w:end="0"/>
        <w:jc w:val="both"/>
        <w:rPr>
          <w:sz w:val="26"/>
        </w:rPr>
      </w:pPr>
      <w:r>
        <w:rPr>
          <w:sz w:val="26"/>
        </w:rPr>
        <w:t>(1) The 12-year forecast of statewide and service area electric power demands adopted pursuant to subdivision (e) of Section 25305, except as provided in Section 25514.5.</w:t>
      </w:r>
    </w:p>
    <w:p>
      <w:pPr>
        <w:pStyle w:val="BodyTextIndent"/>
        <w:ind w:firstLine="720" w:start="720" w:end="0"/>
        <w:jc w:val="both"/>
        <w:rPr>
          <w:sz w:val="26"/>
        </w:rPr>
      </w:pPr>
      <w:r>
        <w:rPr>
          <w:sz w:val="26"/>
        </w:rPr>
        <w:t>(2) Applicable local, regional, state, and federal standards, ordinances, and laws, including any long-range land use plans or guidelines adopted by the state or by any local or regional planning agency, which would be applicable but for the exclusive authority of the commission to certify sites and related facilities; and the standards adopted by the commission pursuant to Section 25216.3.</w:t>
      </w:r>
    </w:p>
    <w:p>
      <w:pPr>
        <w:pStyle w:val="BodyTextIndent"/>
        <w:ind w:start="0" w:end="0"/>
        <w:jc w:val="both"/>
        <w:rPr>
          <w:sz w:val="26"/>
        </w:rPr>
      </w:pPr>
      <w:r>
        <w:rPr>
          <w:sz w:val="26"/>
        </w:rPr>
        <w:t>(b) Any findings and comments submitted by the California Coastal Commission pursuant to Section 25507 and subdivision (d) of Section 30413.</w:t>
      </w:r>
    </w:p>
    <w:p>
      <w:pPr>
        <w:pStyle w:val="BodyTextIndent"/>
        <w:ind w:start="0" w:end="0"/>
        <w:jc w:val="both"/>
        <w:rPr>
          <w:sz w:val="26"/>
        </w:rPr>
      </w:pPr>
      <w:r>
        <w:rPr>
          <w:sz w:val="26"/>
        </w:rPr>
        <w:t>(c) Any findings and comments submitted by the San Francisco Bay Conservation and Development Commission pursuant to Section 25507 of this code and subdivision (d) of Section 66645 of the Government Code.</w:t>
      </w:r>
    </w:p>
    <w:p>
      <w:pPr>
        <w:pStyle w:val="BodyTextIndent"/>
        <w:ind w:start="0" w:end="0"/>
        <w:jc w:val="both"/>
        <w:rPr>
          <w:sz w:val="26"/>
        </w:rPr>
      </w:pPr>
      <w:r>
        <w:rPr>
          <w:sz w:val="26"/>
        </w:rPr>
        <w:t>(d) The commission's findings on the acceptability and relative merit of each alternative siting proposal designated in the notice or presented at the hearings and reviewed by the commission. The specific findings of relative merit shall be made pursuant to Sections 25502 to 25516, inclusive. In its findings on any alternative siting proposal, the commission may specify modification in the design, construction, location, or other conditions which will meet the standards, policies, and guidelines established by the commission.</w:t>
      </w:r>
    </w:p>
    <w:p>
      <w:pPr>
        <w:pStyle w:val="BodyTextIndent"/>
        <w:ind w:start="0" w:end="0"/>
        <w:jc w:val="both"/>
        <w:rPr/>
      </w:pPr>
      <w:r>
        <w:rPr>
          <w:sz w:val="26"/>
        </w:rPr>
        <w:t>(e) Findings and conclusions with respect to the safety and reliability of the facility or facilities at each of the sites designated in the notice, as determined by the commission pursuant to Section 25511, and any conditions, modifications, or criteria proposed for any site and related facility proposal resulting from the findings and conclusions.</w:t>
      </w:r>
      <w:r>
        <w:rPr>
          <w:sz w:val="26"/>
          <w:u w:val="single"/>
        </w:rPr>
        <w:t xml:space="preserve"> </w:t>
      </w:r>
    </w:p>
    <w:p>
      <w:pPr>
        <w:pStyle w:val="BodyTextIndent"/>
        <w:ind w:start="0" w:end="0"/>
        <w:jc w:val="both"/>
        <w:rPr>
          <w:b/>
          <w:sz w:val="26"/>
          <w:u w:val="single"/>
        </w:rPr>
      </w:pPr>
      <w:r>
        <w:rPr>
          <w:sz w:val="26"/>
          <w:u w:val="single"/>
        </w:rPr>
        <w:t>(f) Findings and conclusions as to whether increased property taxes due to the construction of the project are sufficient to support needed local improvements and public services required to serve the project.</w:t>
      </w:r>
    </w:p>
    <w:p>
      <w:pPr>
        <w:pStyle w:val="Normal"/>
        <w:tabs>
          <w:tab w:val="clear" w:pos="720"/>
          <w:tab w:val="left" w:pos="1440" w:leader="none"/>
        </w:tabs>
        <w:jc w:val="both"/>
        <w:rPr>
          <w:b/>
          <w:sz w:val="26"/>
          <w:u w:val="single"/>
        </w:rPr>
      </w:pPr>
      <w:r>
        <w:rPr>
          <w:b/>
          <w:sz w:val="26"/>
          <w:u w:val="single"/>
        </w:rPr>
      </w:r>
    </w:p>
    <w:p>
      <w:pPr>
        <w:pStyle w:val="Normal"/>
        <w:numPr>
          <w:ilvl w:val="0"/>
          <w:numId w:val="3"/>
        </w:numPr>
        <w:jc w:val="both"/>
        <w:rPr>
          <w:b/>
          <w:sz w:val="26"/>
        </w:rPr>
      </w:pPr>
      <w:r>
        <w:rPr>
          <w:b/>
          <w:sz w:val="26"/>
        </w:rPr>
        <w:t>Make ISO Responsible for Determining Interconnection Requirements</w:t>
      </w:r>
    </w:p>
    <w:p>
      <w:pPr>
        <w:pStyle w:val="Normal"/>
        <w:tabs>
          <w:tab w:val="clear" w:pos="720"/>
          <w:tab w:val="left" w:pos="1440" w:leader="none"/>
        </w:tabs>
        <w:ind w:start="720" w:end="0"/>
        <w:jc w:val="both"/>
        <w:rPr>
          <w:b/>
          <w:sz w:val="26"/>
        </w:rPr>
      </w:pPr>
      <w:r>
        <w:rPr>
          <w:b/>
          <w:sz w:val="26"/>
        </w:rPr>
      </w:r>
    </w:p>
    <w:p>
      <w:pPr>
        <w:pStyle w:val="BodyTextIndent"/>
        <w:ind w:start="0" w:end="0"/>
        <w:jc w:val="both"/>
        <w:rPr/>
      </w:pPr>
      <w:r>
        <w:rPr>
          <w:sz w:val="26"/>
        </w:rPr>
        <w:t>Amend Public Utilities Code Section 330(m) as follows:</w:t>
      </w:r>
    </w:p>
    <w:p>
      <w:pPr>
        <w:pStyle w:val="Normal"/>
        <w:tabs>
          <w:tab w:val="clear" w:pos="720"/>
          <w:tab w:val="left" w:pos="1440" w:leader="none"/>
        </w:tabs>
        <w:ind w:start="1440" w:end="0"/>
        <w:jc w:val="both"/>
        <w:rPr>
          <w:sz w:val="26"/>
        </w:rPr>
      </w:pPr>
      <w:r>
        <w:rPr>
          <w:sz w:val="26"/>
        </w:rPr>
      </w:r>
    </w:p>
    <w:p>
      <w:pPr>
        <w:pStyle w:val="Normal"/>
        <w:ind w:firstLine="630" w:start="90" w:end="0"/>
        <w:jc w:val="both"/>
        <w:rPr/>
      </w:pPr>
      <w:r>
        <w:rPr>
          <w:sz w:val="26"/>
        </w:rPr>
        <w:t xml:space="preserve">(m)   It is the intention of the Legislature that California’s publicly owned electric utilities and investor-owned electric utilities should commit control of their transmission facilities to the Independent System Operator. These utilities should jointly advocate to the Federal Energy Regulatory Commission a pricing methodology for the Independent System Operator that results in an equitable return on capital investment in transmission facilities for all Independent System Operator participants. </w:t>
      </w:r>
      <w:r>
        <w:rPr>
          <w:sz w:val="26"/>
          <w:u w:val="single"/>
        </w:rPr>
        <w:t>The Independent System Operator shall determine the terms and conditions of interconnections for new and repowered facilities in consultation with the utility owning the transmission facilities.</w:t>
      </w:r>
    </w:p>
    <w:p>
      <w:pPr>
        <w:pStyle w:val="Normal"/>
        <w:tabs>
          <w:tab w:val="clear" w:pos="720"/>
          <w:tab w:val="left" w:pos="1440" w:leader="none"/>
        </w:tabs>
        <w:ind w:start="1440" w:end="0"/>
        <w:jc w:val="both"/>
        <w:rPr>
          <w:sz w:val="26"/>
          <w:u w:val="single"/>
        </w:rPr>
      </w:pPr>
      <w:r>
        <w:rPr>
          <w:sz w:val="26"/>
          <w:u w:val="single"/>
        </w:rPr>
      </w:r>
    </w:p>
    <w:p>
      <w:pPr>
        <w:pStyle w:val="BodyTextIndent"/>
        <w:ind w:start="0" w:end="0"/>
        <w:jc w:val="both"/>
        <w:rPr>
          <w:sz w:val="26"/>
        </w:rPr>
      </w:pPr>
      <w:r>
        <w:rPr>
          <w:sz w:val="26"/>
        </w:rPr>
        <w:t>Add the following section to the Public Resources Code:</w:t>
      </w:r>
    </w:p>
    <w:p>
      <w:pPr>
        <w:pStyle w:val="Normal"/>
        <w:tabs>
          <w:tab w:val="clear" w:pos="720"/>
          <w:tab w:val="left" w:pos="1440" w:leader="none"/>
        </w:tabs>
        <w:ind w:start="1440" w:end="0"/>
        <w:jc w:val="both"/>
        <w:rPr>
          <w:sz w:val="26"/>
          <w:u w:val="single"/>
        </w:rPr>
      </w:pPr>
      <w:r>
        <w:rPr>
          <w:sz w:val="26"/>
          <w:u w:val="single"/>
        </w:rPr>
      </w:r>
    </w:p>
    <w:p>
      <w:pPr>
        <w:pStyle w:val="BodyTextIndent"/>
        <w:ind w:start="0" w:end="0"/>
        <w:jc w:val="both"/>
        <w:rPr/>
      </w:pPr>
      <w:r>
        <w:rPr>
          <w:sz w:val="26"/>
          <w:u w:val="single"/>
        </w:rPr>
        <w:t>Section 25506.6. Comments and recommendations; independent system operator</w:t>
      </w:r>
    </w:p>
    <w:p>
      <w:pPr>
        <w:pStyle w:val="BodyTextIndent"/>
        <w:ind w:start="0" w:end="0"/>
        <w:jc w:val="both"/>
        <w:rPr>
          <w:sz w:val="26"/>
          <w:u w:val="single"/>
        </w:rPr>
      </w:pPr>
      <w:r>
        <w:rPr>
          <w:sz w:val="26"/>
          <w:u w:val="single"/>
        </w:rPr>
      </w:r>
    </w:p>
    <w:p>
      <w:pPr>
        <w:pStyle w:val="BodyTextIndent"/>
        <w:ind w:start="0" w:end="0"/>
        <w:jc w:val="both"/>
        <w:rPr>
          <w:b/>
          <w:sz w:val="26"/>
          <w:u w:val="single"/>
        </w:rPr>
      </w:pPr>
      <w:r>
        <w:rPr>
          <w:sz w:val="26"/>
          <w:u w:val="single"/>
        </w:rPr>
        <w:t xml:space="preserve">The Independent System Operator shall advise the commission regarding interconnection requirements for a facility within 90 days of an application having been determined data adequate by the commission.  In the event that the Independent System Operator fails to meet this deadline, the commission shall hold a hearing within 14 days requiring the Independent System Operator to show cause why the interconnection requirements have not been identified.  </w:t>
      </w:r>
    </w:p>
    <w:p>
      <w:pPr>
        <w:pStyle w:val="Normal"/>
        <w:jc w:val="both"/>
        <w:rPr>
          <w:b/>
          <w:sz w:val="26"/>
          <w:u w:val="single"/>
        </w:rPr>
      </w:pPr>
      <w:r>
        <w:rPr>
          <w:b/>
          <w:sz w:val="26"/>
          <w:u w:val="single"/>
        </w:rPr>
      </w:r>
    </w:p>
    <w:p>
      <w:pPr>
        <w:pStyle w:val="Normal"/>
        <w:jc w:val="both"/>
        <w:rPr>
          <w:b/>
          <w:sz w:val="26"/>
        </w:rPr>
      </w:pPr>
      <w:r>
        <w:rPr>
          <w:b/>
          <w:sz w:val="26"/>
        </w:rPr>
        <w:t xml:space="preserve"> </w:t>
      </w:r>
    </w:p>
    <w:p>
      <w:pPr>
        <w:pStyle w:val="Normal"/>
        <w:widowControl/>
        <w:jc w:val="both"/>
        <w:rPr>
          <w:sz w:val="26"/>
        </w:rPr>
      </w:pPr>
      <w:r>
        <w:rPr>
          <w:sz w:val="26"/>
        </w:rPr>
        <w:t xml:space="preserve">    </w:t>
      </w:r>
    </w:p>
    <w:sectPr>
      <w:type w:val="continuous"/>
      <w:pgSz w:w="12240" w:h="15840"/>
      <w:pgMar w:left="1440" w:right="1440" w:gutter="0" w:header="0" w:top="72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autoSpaceDE w:val="true"/>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autoSpaceDE w:val="true"/>
      <w:ind w:hanging="0" w:start="1440" w:end="0"/>
    </w:pPr>
    <w:rPr>
      <w:sz w:val="24"/>
    </w:rPr>
  </w:style>
  <w:style w:type="paragraph" w:styleId="BodyTextIndent2">
    <w:name w:val="Body Text Indent 2"/>
    <w:basedOn w:val="Normal"/>
    <w:qFormat/>
    <w:pPr>
      <w:widowControl/>
      <w:tabs>
        <w:tab w:val="clear" w:pos="720"/>
        <w:tab w:val="left" w:pos="1440" w:leader="none"/>
      </w:tabs>
      <w:autoSpaceDE w:val="true"/>
      <w:ind w:hanging="0" w:start="1440" w:end="0"/>
    </w:pPr>
    <w:rPr>
      <w:sz w:val="24"/>
      <w:u w:val="single"/>
    </w:rPr>
  </w:style>
  <w:style w:type="paragraph" w:styleId="BodyText2">
    <w:name w:val="Body Text 2"/>
    <w:basedOn w:val="Normal"/>
    <w:qFormat/>
    <w:pPr>
      <w:widowControl/>
      <w:autoSpaceDE w:val="true"/>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2001-01-19T15:24:00Z</dcterms:created>
  <dc:creator>Katie Kaplan</dc:creator>
  <dc:description/>
  <dc:language>en-CA</dc:language>
  <cp:lastModifiedBy>Katie Kaplan</cp:lastModifiedBy>
  <cp:lastPrinted>2001-01-18T12:04:00Z</cp:lastPrinted>
  <dcterms:modified xsi:type="dcterms:W3CDTF">2001-01-19T15:37:00Z</dcterms:modified>
  <cp:revision>3</cp:revision>
  <dc:subject/>
  <dc:title>ELLISON, SCHNEIDER &amp; HARRIS L</dc:title>
</cp:coreProperties>
</file>