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bookmarkStart w:id="0" w:name="_1003152424"/>
      <w:bookmarkEnd w:id="0"/>
      <w:r>
        <w:rPr>
          <w:sz w:val="20"/>
        </w:rPr>
        <w:object w:dxaOrig="1441" w:dyaOrig="142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72.05pt;height:71.3pt" filled="f" o:ole="">
            <v:imagedata r:id="rId3" o:title=""/>
          </v:shape>
          <o:OLEObject Type="Embed" ProgID="" ShapeID="ole_rId2" DrawAspect="Content" ObjectID="_2038079312" r:id="rId2"/>
        </w:object>
      </w:r>
    </w:p>
    <w:p>
      <w:pPr>
        <w:pStyle w:val="Heading"/>
        <w:rPr/>
      </w:pPr>
      <w:r>
        <w:rPr/>
        <w:tab/>
      </w:r>
    </w:p>
    <w:tbl>
      <w:tblPr>
        <w:tblW w:w="9268" w:type="dxa"/>
        <w:jc w:val="start"/>
        <w:tblInd w:w="108" w:type="dxa"/>
        <w:tblLayout w:type="fixed"/>
        <w:tblCellMar>
          <w:top w:w="0" w:type="dxa"/>
          <w:start w:w="108" w:type="dxa"/>
          <w:bottom w:w="0" w:type="dxa"/>
          <w:end w:w="108" w:type="dxa"/>
        </w:tblCellMar>
      </w:tblPr>
      <w:tblGrid>
        <w:gridCol w:w="708"/>
        <w:gridCol w:w="5140"/>
        <w:gridCol w:w="1260"/>
        <w:gridCol w:w="2160"/>
      </w:tblGrid>
      <w:tr>
        <w:trPr>
          <w:trHeight w:val="300" w:hRule="exact"/>
        </w:trPr>
        <w:tc>
          <w:tcPr>
            <w:tcW w:w="708" w:type="dxa"/>
            <w:tcBorders/>
          </w:tcPr>
          <w:p>
            <w:pPr>
              <w:pStyle w:val="Normal"/>
              <w:spacing w:before="20" w:after="0"/>
              <w:ind w:start="-187" w:end="0"/>
              <w:jc w:val="end"/>
              <w:rPr>
                <w:sz w:val="16"/>
              </w:rPr>
            </w:pPr>
            <w:r>
              <w:rPr>
                <w:sz w:val="16"/>
              </w:rPr>
              <w:t>To:</w:t>
            </w:r>
          </w:p>
        </w:tc>
        <w:tc>
          <w:tcPr>
            <w:tcW w:w="5140" w:type="dxa"/>
            <w:tcBorders/>
          </w:tcPr>
          <w:p>
            <w:pPr>
              <w:pStyle w:val="To"/>
              <w:rPr/>
            </w:pPr>
            <w:bookmarkStart w:id="1" w:name="to"/>
            <w:bookmarkEnd w:id="1"/>
            <w:r>
              <w:rPr/>
              <w:t>Terry Thorn</w:t>
            </w:r>
          </w:p>
        </w:tc>
        <w:tc>
          <w:tcPr>
            <w:tcW w:w="1260" w:type="dxa"/>
            <w:tcBorders/>
          </w:tcPr>
          <w:p>
            <w:pPr>
              <w:pStyle w:val="Normal"/>
              <w:snapToGrid w:val="false"/>
              <w:spacing w:before="20" w:after="0"/>
              <w:ind w:firstLine="29" w:start="-202" w:end="0"/>
              <w:rPr/>
            </w:pPr>
            <w:r>
              <w:rPr/>
            </w:r>
          </w:p>
        </w:tc>
        <w:tc>
          <w:tcPr>
            <w:tcW w:w="2160" w:type="dxa"/>
            <w:tcBorders/>
          </w:tcPr>
          <w:p>
            <w:pPr>
              <w:pStyle w:val="Normal"/>
              <w:snapToGrid w:val="false"/>
              <w:rPr/>
            </w:pPr>
            <w:r>
              <w:rPr/>
            </w:r>
          </w:p>
        </w:tc>
      </w:tr>
      <w:tr>
        <w:trPr>
          <w:trHeight w:val="216" w:hRule="exact"/>
        </w:trPr>
        <w:tc>
          <w:tcPr>
            <w:tcW w:w="708" w:type="dxa"/>
            <w:tcBorders/>
          </w:tcPr>
          <w:p>
            <w:pPr>
              <w:pStyle w:val="Normal"/>
              <w:snapToGrid w:val="false"/>
              <w:spacing w:before="20" w:after="0"/>
              <w:ind w:start="-187" w:end="0"/>
              <w:jc w:val="end"/>
              <w:rPr>
                <w:sz w:val="18"/>
              </w:rPr>
            </w:pPr>
            <w:r>
              <w:rPr>
                <w:sz w:val="18"/>
              </w:rPr>
            </w:r>
          </w:p>
        </w:tc>
        <w:tc>
          <w:tcPr>
            <w:tcW w:w="5140" w:type="dxa"/>
            <w:tcBorders/>
          </w:tcPr>
          <w:p>
            <w:pPr>
              <w:pStyle w:val="Normal"/>
              <w:snapToGrid w:val="false"/>
              <w:rPr>
                <w:sz w:val="18"/>
              </w:rPr>
            </w:pPr>
            <w:r>
              <w:rPr>
                <w:sz w:val="18"/>
              </w:rPr>
            </w:r>
          </w:p>
        </w:tc>
        <w:tc>
          <w:tcPr>
            <w:tcW w:w="1260" w:type="dxa"/>
            <w:tcBorders/>
          </w:tcPr>
          <w:p>
            <w:pPr>
              <w:pStyle w:val="Normal"/>
              <w:snapToGrid w:val="false"/>
              <w:spacing w:before="20" w:after="0"/>
              <w:ind w:firstLine="29" w:start="-202" w:end="0"/>
              <w:rPr>
                <w:sz w:val="18"/>
              </w:rPr>
            </w:pPr>
            <w:r>
              <w:rPr>
                <w:sz w:val="18"/>
              </w:rPr>
            </w:r>
          </w:p>
        </w:tc>
        <w:tc>
          <w:tcPr>
            <w:tcW w:w="2160" w:type="dxa"/>
            <w:tcBorders/>
          </w:tcPr>
          <w:p>
            <w:pPr>
              <w:pStyle w:val="Normal"/>
              <w:snapToGrid w:val="false"/>
              <w:rPr>
                <w:sz w:val="18"/>
              </w:rPr>
            </w:pPr>
            <w:r>
              <w:rPr>
                <w:sz w:val="18"/>
              </w:rPr>
            </w:r>
          </w:p>
        </w:tc>
      </w:tr>
      <w:tr>
        <w:trPr>
          <w:trHeight w:val="300" w:hRule="exact"/>
        </w:trPr>
        <w:tc>
          <w:tcPr>
            <w:tcW w:w="708" w:type="dxa"/>
            <w:tcBorders/>
          </w:tcPr>
          <w:p>
            <w:pPr>
              <w:pStyle w:val="Normal"/>
              <w:spacing w:before="20" w:after="0"/>
              <w:ind w:start="-187" w:end="0"/>
              <w:jc w:val="end"/>
              <w:rPr>
                <w:sz w:val="16"/>
              </w:rPr>
            </w:pPr>
            <w:r>
              <w:rPr>
                <w:sz w:val="16"/>
              </w:rPr>
              <w:t>From:</w:t>
            </w:r>
          </w:p>
        </w:tc>
        <w:tc>
          <w:tcPr>
            <w:tcW w:w="5140" w:type="dxa"/>
            <w:tcBorders/>
          </w:tcPr>
          <w:p>
            <w:pPr>
              <w:pStyle w:val="From"/>
              <w:rPr/>
            </w:pPr>
            <w:r>
              <w:rPr/>
              <w:t>Jane Wilson</w:t>
            </w:r>
          </w:p>
        </w:tc>
        <w:tc>
          <w:tcPr>
            <w:tcW w:w="1260" w:type="dxa"/>
            <w:tcBorders/>
          </w:tcPr>
          <w:p>
            <w:pPr>
              <w:pStyle w:val="Normal"/>
              <w:spacing w:before="20" w:after="0"/>
              <w:ind w:firstLine="29" w:start="-202" w:end="0"/>
              <w:jc w:val="end"/>
              <w:rPr>
                <w:sz w:val="16"/>
              </w:rPr>
            </w:pPr>
            <w:r>
              <w:rPr>
                <w:sz w:val="16"/>
              </w:rPr>
              <w:t>Department:</w:t>
            </w:r>
          </w:p>
        </w:tc>
        <w:tc>
          <w:tcPr>
            <w:tcW w:w="2160" w:type="dxa"/>
            <w:tcBorders/>
          </w:tcPr>
          <w:p>
            <w:pPr>
              <w:pStyle w:val="Department"/>
              <w:rPr/>
            </w:pPr>
            <w:bookmarkStart w:id="2" w:name="From"/>
            <w:bookmarkEnd w:id="2"/>
            <w:r>
              <w:rPr/>
              <w:t>Regulatory Affairs</w:t>
            </w:r>
          </w:p>
        </w:tc>
      </w:tr>
      <w:tr>
        <w:trPr>
          <w:trHeight w:val="216" w:hRule="exact"/>
        </w:trPr>
        <w:tc>
          <w:tcPr>
            <w:tcW w:w="708" w:type="dxa"/>
            <w:tcBorders/>
          </w:tcPr>
          <w:p>
            <w:pPr>
              <w:pStyle w:val="Normal"/>
              <w:snapToGrid w:val="false"/>
              <w:spacing w:before="20" w:after="0"/>
              <w:ind w:start="-187" w:end="0"/>
              <w:jc w:val="end"/>
              <w:rPr>
                <w:sz w:val="18"/>
              </w:rPr>
            </w:pPr>
            <w:r>
              <w:rPr>
                <w:sz w:val="18"/>
              </w:rPr>
            </w:r>
          </w:p>
        </w:tc>
        <w:tc>
          <w:tcPr>
            <w:tcW w:w="5140" w:type="dxa"/>
            <w:tcBorders/>
          </w:tcPr>
          <w:p>
            <w:pPr>
              <w:pStyle w:val="Normal"/>
              <w:snapToGrid w:val="false"/>
              <w:rPr>
                <w:sz w:val="18"/>
              </w:rPr>
            </w:pPr>
            <w:r>
              <w:rPr>
                <w:sz w:val="18"/>
              </w:rPr>
            </w:r>
          </w:p>
        </w:tc>
        <w:tc>
          <w:tcPr>
            <w:tcW w:w="1260" w:type="dxa"/>
            <w:tcBorders/>
          </w:tcPr>
          <w:p>
            <w:pPr>
              <w:pStyle w:val="Normal"/>
              <w:snapToGrid w:val="false"/>
              <w:spacing w:before="20" w:after="0"/>
              <w:ind w:firstLine="29" w:start="-202" w:end="0"/>
              <w:rPr>
                <w:sz w:val="18"/>
              </w:rPr>
            </w:pPr>
            <w:r>
              <w:rPr>
                <w:sz w:val="18"/>
              </w:rPr>
            </w:r>
          </w:p>
        </w:tc>
        <w:tc>
          <w:tcPr>
            <w:tcW w:w="2160" w:type="dxa"/>
            <w:tcBorders/>
          </w:tcPr>
          <w:p>
            <w:pPr>
              <w:pStyle w:val="Normal"/>
              <w:snapToGrid w:val="false"/>
              <w:rPr>
                <w:sz w:val="18"/>
              </w:rPr>
            </w:pPr>
            <w:r>
              <w:rPr>
                <w:sz w:val="18"/>
              </w:rPr>
            </w:r>
          </w:p>
        </w:tc>
      </w:tr>
      <w:tr>
        <w:trPr>
          <w:trHeight w:val="400" w:hRule="exact"/>
        </w:trPr>
        <w:tc>
          <w:tcPr>
            <w:tcW w:w="708" w:type="dxa"/>
            <w:tcBorders>
              <w:bottom w:val="single" w:sz="18" w:space="0" w:color="000000"/>
            </w:tcBorders>
          </w:tcPr>
          <w:p>
            <w:pPr>
              <w:pStyle w:val="Normal"/>
              <w:spacing w:before="20" w:after="0"/>
              <w:ind w:start="-187" w:end="0"/>
              <w:jc w:val="end"/>
              <w:rPr>
                <w:sz w:val="16"/>
              </w:rPr>
            </w:pPr>
            <w:r>
              <w:rPr>
                <w:sz w:val="16"/>
              </w:rPr>
              <w:t>Subject:</w:t>
            </w:r>
          </w:p>
        </w:tc>
        <w:tc>
          <w:tcPr>
            <w:tcW w:w="5140" w:type="dxa"/>
            <w:tcBorders>
              <w:bottom w:val="single" w:sz="18" w:space="0" w:color="000000"/>
            </w:tcBorders>
          </w:tcPr>
          <w:p>
            <w:pPr>
              <w:pStyle w:val="Subject"/>
              <w:rPr/>
            </w:pPr>
            <w:bookmarkStart w:id="3" w:name="Subject"/>
            <w:bookmarkEnd w:id="3"/>
            <w:r>
              <w:rPr/>
              <w:t>Significant Events as of February 18, 2000</w:t>
            </w:r>
          </w:p>
        </w:tc>
        <w:tc>
          <w:tcPr>
            <w:tcW w:w="1260" w:type="dxa"/>
            <w:tcBorders>
              <w:bottom w:val="single" w:sz="18" w:space="0" w:color="000000"/>
            </w:tcBorders>
          </w:tcPr>
          <w:p>
            <w:pPr>
              <w:pStyle w:val="Normal"/>
              <w:spacing w:before="20" w:after="0"/>
              <w:ind w:firstLine="29" w:start="-202" w:end="0"/>
              <w:jc w:val="end"/>
              <w:rPr>
                <w:sz w:val="16"/>
              </w:rPr>
            </w:pPr>
            <w:r>
              <w:rPr>
                <w:sz w:val="16"/>
              </w:rPr>
              <w:t>Date:</w:t>
            </w:r>
          </w:p>
        </w:tc>
        <w:tc>
          <w:tcPr>
            <w:tcW w:w="2160" w:type="dxa"/>
            <w:tcBorders>
              <w:bottom w:val="single" w:sz="18" w:space="0" w:color="000000"/>
            </w:tcBorders>
          </w:tcPr>
          <w:p>
            <w:pPr>
              <w:pStyle w:val="Date"/>
              <w:rPr/>
            </w:pPr>
            <w:r>
              <w:rPr/>
              <w:t>February 21, 2000</w:t>
            </w:r>
          </w:p>
        </w:tc>
      </w:tr>
    </w:tbl>
    <w:p>
      <w:pPr>
        <w:pStyle w:val="Body"/>
        <w:ind w:start="0" w:end="0"/>
        <w:rPr>
          <w:color w:val="000000"/>
        </w:rPr>
      </w:pPr>
      <w:r>
        <w:rPr>
          <w:color w:val="000000"/>
        </w:rPr>
      </w:r>
      <w:bookmarkStart w:id="4" w:name="StartOfMemo"/>
      <w:bookmarkStart w:id="5" w:name="StartOfMemo"/>
      <w:bookmarkEnd w:id="5"/>
    </w:p>
    <w:p>
      <w:pPr>
        <w:pStyle w:val="Body"/>
        <w:ind w:start="0" w:end="0"/>
        <w:rPr>
          <w:color w:val="000000"/>
        </w:rPr>
      </w:pPr>
      <w:r>
        <w:rPr>
          <w:color w:val="000000"/>
        </w:rPr>
      </w:r>
    </w:p>
    <w:p>
      <w:pPr>
        <w:pStyle w:val="Normal"/>
        <w:rPr>
          <w:b/>
          <w:sz w:val="20"/>
        </w:rPr>
      </w:pPr>
      <w:r>
        <w:rPr>
          <w:b/>
          <w:sz w:val="20"/>
        </w:rPr>
        <w:t>By Country:</w:t>
      </w:r>
    </w:p>
    <w:p>
      <w:pPr>
        <w:pStyle w:val="Heading4"/>
        <w:spacing w:before="60" w:after="0"/>
        <w:ind w:hanging="0" w:start="0"/>
        <w:rPr>
          <w:b/>
          <w:sz w:val="20"/>
        </w:rPr>
      </w:pPr>
      <w:r>
        <w:rPr>
          <w:b/>
          <w:sz w:val="20"/>
        </w:rPr>
      </w:r>
    </w:p>
    <w:p>
      <w:pPr>
        <w:pStyle w:val="Heading4"/>
        <w:spacing w:before="60" w:after="0"/>
        <w:ind w:hanging="0" w:start="0"/>
        <w:rPr/>
      </w:pPr>
      <w:r>
        <w:rPr/>
        <w:t>Argentina</w:t>
      </w:r>
    </w:p>
    <w:p>
      <w:pPr>
        <w:pStyle w:val="Heading4"/>
        <w:spacing w:before="60" w:after="0"/>
        <w:ind w:hanging="0" w:start="0"/>
        <w:rPr>
          <w:u w:val="none"/>
        </w:rPr>
      </w:pPr>
      <w:r>
        <w:rPr>
          <w:u w:val="none"/>
        </w:rPr>
        <w:t>ELECTRICITY</w:t>
      </w:r>
    </w:p>
    <w:p>
      <w:pPr>
        <w:pStyle w:val="FootnoteText"/>
        <w:numPr>
          <w:ilvl w:val="0"/>
          <w:numId w:val="4"/>
        </w:numPr>
        <w:spacing w:before="60" w:after="0"/>
        <w:rPr>
          <w:rFonts w:ascii="Arial" w:hAnsi="Arial" w:cs="Arial"/>
        </w:rPr>
      </w:pPr>
      <w:r>
        <w:rPr>
          <w:rFonts w:cs="Arial" w:ascii="Arial" w:hAnsi="Arial"/>
        </w:rPr>
        <w:t>Received and reviewed new resolution from ENRE regarding Arcor’s generation company environmental situation. Main remarks:</w:t>
      </w:r>
    </w:p>
    <w:p>
      <w:pPr>
        <w:pStyle w:val="FootnoteText"/>
        <w:numPr>
          <w:ilvl w:val="0"/>
          <w:numId w:val="3"/>
        </w:numPr>
        <w:spacing w:before="60" w:after="0"/>
        <w:rPr>
          <w:rFonts w:ascii="Arial" w:hAnsi="Arial" w:cs="Arial"/>
        </w:rPr>
      </w:pPr>
      <w:r>
        <w:rPr>
          <w:rFonts w:cs="Arial" w:ascii="Arial" w:hAnsi="Arial"/>
        </w:rPr>
        <w:t>In 1998, ENRE measured Arcor’s Nox emissions and they were above the limits.</w:t>
      </w:r>
    </w:p>
    <w:p>
      <w:pPr>
        <w:pStyle w:val="FootnoteText"/>
        <w:numPr>
          <w:ilvl w:val="0"/>
          <w:numId w:val="3"/>
        </w:numPr>
        <w:spacing w:before="60" w:after="0"/>
        <w:rPr>
          <w:rFonts w:ascii="Arial" w:hAnsi="Arial" w:cs="Arial"/>
        </w:rPr>
      </w:pPr>
      <w:r>
        <w:rPr>
          <w:rFonts w:cs="Arial" w:ascii="Arial" w:hAnsi="Arial"/>
        </w:rPr>
        <w:t>Arcor made a commitment to change current burners to “low Nox” burners, but this has not yet been done.</w:t>
      </w:r>
    </w:p>
    <w:p>
      <w:pPr>
        <w:pStyle w:val="FootnoteText"/>
        <w:numPr>
          <w:ilvl w:val="0"/>
          <w:numId w:val="3"/>
        </w:numPr>
        <w:spacing w:before="60" w:after="0"/>
        <w:rPr>
          <w:rFonts w:ascii="Arial" w:hAnsi="Arial" w:cs="Arial"/>
        </w:rPr>
      </w:pPr>
      <w:r>
        <w:rPr>
          <w:rFonts w:cs="Arial" w:ascii="Arial" w:hAnsi="Arial"/>
        </w:rPr>
        <w:t>ENRE opened a file to support the final decision.</w:t>
      </w:r>
    </w:p>
    <w:p>
      <w:pPr>
        <w:pStyle w:val="FootnoteText"/>
        <w:numPr>
          <w:ilvl w:val="0"/>
          <w:numId w:val="4"/>
        </w:numPr>
        <w:spacing w:before="60" w:after="0"/>
        <w:rPr>
          <w:rFonts w:ascii="Arial" w:hAnsi="Arial" w:cs="Arial"/>
        </w:rPr>
      </w:pPr>
      <w:r>
        <w:rPr>
          <w:rFonts w:cs="Arial" w:ascii="Arial" w:hAnsi="Arial"/>
        </w:rPr>
        <w:t>Talked to Roberto Volonte, Arcor’s generation company Plant Manager. We asked him to:</w:t>
      </w:r>
    </w:p>
    <w:p>
      <w:pPr>
        <w:pStyle w:val="FootnoteText"/>
        <w:numPr>
          <w:ilvl w:val="0"/>
          <w:numId w:val="3"/>
        </w:numPr>
        <w:spacing w:before="60" w:after="0"/>
        <w:rPr>
          <w:rFonts w:ascii="Arial" w:hAnsi="Arial" w:cs="Arial"/>
        </w:rPr>
      </w:pPr>
      <w:r>
        <w:rPr>
          <w:rFonts w:cs="Arial" w:ascii="Arial" w:hAnsi="Arial"/>
        </w:rPr>
        <w:t>Provide a copy of ENRE’s file to support the Resolution described above.</w:t>
      </w:r>
    </w:p>
    <w:p>
      <w:pPr>
        <w:pStyle w:val="FootnoteText"/>
        <w:numPr>
          <w:ilvl w:val="0"/>
          <w:numId w:val="3"/>
        </w:numPr>
        <w:spacing w:before="60" w:after="0"/>
        <w:rPr>
          <w:rFonts w:ascii="Arial" w:hAnsi="Arial" w:cs="Arial"/>
        </w:rPr>
      </w:pPr>
      <w:r>
        <w:rPr>
          <w:rFonts w:cs="Arial" w:ascii="Arial" w:hAnsi="Arial"/>
        </w:rPr>
        <w:t>Provide a copy of the answer that ARCOR is preparing in response to the new Resolution.</w:t>
      </w:r>
    </w:p>
    <w:p>
      <w:pPr>
        <w:pStyle w:val="Heading4"/>
        <w:spacing w:before="60" w:after="0"/>
        <w:ind w:hanging="0" w:start="0"/>
        <w:rPr>
          <w:u w:val="none"/>
        </w:rPr>
      </w:pPr>
      <w:r>
        <w:rPr>
          <w:u w:val="none"/>
        </w:rPr>
        <w:t>NATURAL GAS</w:t>
      </w:r>
    </w:p>
    <w:p>
      <w:pPr>
        <w:pStyle w:val="FootnoteText"/>
        <w:numPr>
          <w:ilvl w:val="0"/>
          <w:numId w:val="4"/>
        </w:numPr>
        <w:spacing w:before="60" w:after="0"/>
        <w:rPr>
          <w:rFonts w:ascii="Arial" w:hAnsi="Arial" w:cs="Arial"/>
        </w:rPr>
      </w:pPr>
      <w:r>
        <w:rPr>
          <w:rFonts w:cs="Arial" w:ascii="Arial" w:hAnsi="Arial"/>
        </w:rPr>
        <w:t>Prepared slides and gave presentation at UIA (the largest industrial association in the country) about customer choices and interruptible distribution, and stated Enron’s position for the Public Hearing.</w:t>
      </w:r>
    </w:p>
    <w:p>
      <w:pPr>
        <w:pStyle w:val="FootnoteText"/>
        <w:numPr>
          <w:ilvl w:val="0"/>
          <w:numId w:val="4"/>
        </w:numPr>
        <w:spacing w:before="60" w:after="0"/>
        <w:rPr>
          <w:rFonts w:ascii="Arial" w:hAnsi="Arial" w:cs="Arial"/>
        </w:rPr>
      </w:pPr>
      <w:r>
        <w:rPr>
          <w:rFonts w:cs="Arial" w:ascii="Arial" w:hAnsi="Arial"/>
        </w:rPr>
        <w:t>Prepared a package with information about the Public Hearing for customers, associations of users, and legislators. Redrafted white paper about interruptible distribution for this package.</w:t>
      </w:r>
    </w:p>
    <w:p>
      <w:pPr>
        <w:pStyle w:val="FootnoteText"/>
        <w:numPr>
          <w:ilvl w:val="0"/>
          <w:numId w:val="4"/>
        </w:numPr>
        <w:spacing w:before="60" w:after="0"/>
        <w:rPr>
          <w:rFonts w:ascii="Arial" w:hAnsi="Arial" w:cs="Arial"/>
        </w:rPr>
      </w:pPr>
      <w:r>
        <w:rPr>
          <w:rFonts w:cs="Arial" w:ascii="Arial" w:hAnsi="Arial"/>
        </w:rPr>
        <w:t>Prepare and sent letter to ENARGAS stating our opinion regarding the proposal received from the Regulatory Commission to reduce the threshold (from 10,000 m3/day to 5,000 m3/day) to purchase from a third party.  Main remarks:</w:t>
      </w:r>
    </w:p>
    <w:p>
      <w:pPr>
        <w:pStyle w:val="FootnoteText"/>
        <w:numPr>
          <w:ilvl w:val="0"/>
          <w:numId w:val="2"/>
        </w:numPr>
        <w:spacing w:before="60" w:after="0"/>
        <w:rPr>
          <w:rFonts w:ascii="Arial" w:hAnsi="Arial" w:cs="Arial"/>
        </w:rPr>
      </w:pPr>
      <w:r>
        <w:rPr>
          <w:rFonts w:cs="Arial" w:ascii="Arial" w:hAnsi="Arial"/>
        </w:rPr>
        <w:t>Enron believes that this is the right time to regulate the rights of all natural gas consumers to choose an alternative provider other than the area distributor.</w:t>
      </w:r>
    </w:p>
    <w:p>
      <w:pPr>
        <w:pStyle w:val="FootnoteText"/>
        <w:numPr>
          <w:ilvl w:val="0"/>
          <w:numId w:val="2"/>
        </w:numPr>
        <w:spacing w:before="60" w:after="0"/>
        <w:rPr>
          <w:rFonts w:ascii="Arial" w:hAnsi="Arial" w:cs="Arial"/>
        </w:rPr>
      </w:pPr>
      <w:r>
        <w:rPr>
          <w:rFonts w:cs="Arial" w:ascii="Arial" w:hAnsi="Arial"/>
        </w:rPr>
        <w:t>These regulations may, under no event, be considered a change in the game rules since the licensees knew, upon privatization, the right of consumers to choose an alternative supplier as provided for by law 24,076.</w:t>
      </w:r>
    </w:p>
    <w:p>
      <w:pPr>
        <w:pStyle w:val="FootnoteText"/>
        <w:numPr>
          <w:ilvl w:val="0"/>
          <w:numId w:val="2"/>
        </w:numPr>
        <w:spacing w:before="60" w:after="0"/>
        <w:rPr>
          <w:rFonts w:ascii="Arial" w:hAnsi="Arial" w:cs="Arial"/>
        </w:rPr>
      </w:pPr>
      <w:r>
        <w:rPr>
          <w:rFonts w:cs="Arial" w:ascii="Arial" w:hAnsi="Arial"/>
        </w:rPr>
        <w:t>The right to buy “natural gas directly from producers or marketers” granted by Section 13 of the Law to consumers comprises both gas at well head and gas at the delivery point of the transporter – city gate – (Well Head Gas + Transportation), and gas at the delivery point of the distributor – burner tip – (Well Head Gas + Transportation + Distribution). The consumer is entitled to choose the place at which it buys gas from a third party and, therefore, if it contracts any service with the distributor or not.</w:t>
      </w:r>
    </w:p>
    <w:p>
      <w:pPr>
        <w:pStyle w:val="FootnoteText"/>
        <w:numPr>
          <w:ilvl w:val="0"/>
          <w:numId w:val="2"/>
        </w:numPr>
        <w:spacing w:before="60" w:after="0"/>
        <w:rPr>
          <w:rFonts w:ascii="Arial" w:hAnsi="Arial" w:cs="Arial"/>
        </w:rPr>
      </w:pPr>
      <w:r>
        <w:rPr>
          <w:rFonts w:cs="Arial" w:ascii="Arial" w:hAnsi="Arial"/>
        </w:rPr>
        <w:t>The maximum rates that should be charged by distributors to customers that execute the right to choose an alternative supplier will consist of deducting from maximum authorized rates for the full service (Gas at Well + Transportation + Distribution) the costs of gas (at well) or gas (at well) and transportation based on the option exercised by the user.</w:t>
      </w:r>
    </w:p>
    <w:p>
      <w:pPr>
        <w:pStyle w:val="FootnoteText"/>
        <w:numPr>
          <w:ilvl w:val="0"/>
          <w:numId w:val="2"/>
        </w:numPr>
        <w:spacing w:before="60" w:after="0"/>
        <w:rPr>
          <w:rFonts w:ascii="Arial" w:hAnsi="Arial" w:cs="Arial"/>
        </w:rPr>
      </w:pPr>
      <w:r>
        <w:rPr>
          <w:rFonts w:cs="Arial" w:ascii="Arial" w:hAnsi="Arial"/>
        </w:rPr>
        <w:t>The number of users benefited by ENARGAS’ proposal is, on a percentage basis, very low regarding the user universe (about 5.7 million) entitled to seek the service of an alternative supplier.  A very optimistic estimate is that 378 users might benefit.</w:t>
      </w:r>
    </w:p>
    <w:p>
      <w:pPr>
        <w:pStyle w:val="FootnoteText"/>
        <w:numPr>
          <w:ilvl w:val="0"/>
          <w:numId w:val="4"/>
        </w:numPr>
        <w:spacing w:before="60" w:after="0"/>
        <w:rPr>
          <w:rFonts w:ascii="Arial" w:hAnsi="Arial" w:cs="Arial"/>
        </w:rPr>
      </w:pPr>
      <w:r>
        <w:rPr>
          <w:rFonts w:cs="Arial" w:ascii="Arial" w:hAnsi="Arial"/>
        </w:rPr>
        <w:t>Reviewed and analyzed the commercial and regulatory alternatives involved in natural gas sale deal that Enron is currently negotiating with Central Piedra Buena (power plant with an estimated consumption of 950,000 m3/day).</w:t>
      </w:r>
    </w:p>
    <w:p>
      <w:pPr>
        <w:pStyle w:val="FootnoteText"/>
        <w:numPr>
          <w:ilvl w:val="0"/>
          <w:numId w:val="4"/>
        </w:numPr>
        <w:spacing w:before="60" w:after="0"/>
        <w:rPr>
          <w:rFonts w:ascii="Arial" w:hAnsi="Arial" w:cs="Arial"/>
        </w:rPr>
      </w:pPr>
      <w:r>
        <w:rPr>
          <w:rFonts w:cs="Arial" w:ascii="Arial" w:hAnsi="Arial"/>
        </w:rPr>
        <w:t>Reviewed and analyzed the commercial and regulatory alternatives involved in the Firm Transportation Capacity Swap that Enron is currently negotiating with Perez Company.</w:t>
      </w:r>
    </w:p>
    <w:p>
      <w:pPr>
        <w:pStyle w:val="FootnoteText"/>
        <w:numPr>
          <w:ilvl w:val="0"/>
          <w:numId w:val="4"/>
        </w:numPr>
        <w:spacing w:before="60" w:after="0"/>
        <w:rPr>
          <w:rFonts w:ascii="Arial" w:hAnsi="Arial" w:cs="Arial"/>
        </w:rPr>
      </w:pPr>
      <w:r>
        <w:rPr>
          <w:rFonts w:cs="Arial" w:ascii="Arial" w:hAnsi="Arial"/>
        </w:rPr>
        <w:t>Had lunch with Pronsato (Enargas’ pro-competition technical member). He resigned his position at Enargas and will work for Camuzzi.</w:t>
      </w:r>
    </w:p>
    <w:p>
      <w:pPr>
        <w:pStyle w:val="FootnoteText"/>
        <w:numPr>
          <w:ilvl w:val="0"/>
          <w:numId w:val="4"/>
        </w:numPr>
        <w:spacing w:before="60" w:after="0"/>
        <w:rPr>
          <w:rFonts w:ascii="Arial" w:hAnsi="Arial" w:cs="Arial"/>
        </w:rPr>
      </w:pPr>
      <w:r>
        <w:rPr>
          <w:rFonts w:cs="Arial" w:ascii="Arial" w:hAnsi="Arial"/>
        </w:rPr>
        <w:t>Sent letter to ENARGAS requesting to introduce into the file that supports the Interruptible Distribution Public Hearing Enron’s opinion about the changes proposed by ENARGAS in the Capacity Release Mechanism and the reduction in the threshold to choose an alternative supplier.</w:t>
      </w:r>
    </w:p>
    <w:p>
      <w:pPr>
        <w:pStyle w:val="FootnoteText"/>
        <w:numPr>
          <w:ilvl w:val="0"/>
          <w:numId w:val="4"/>
        </w:numPr>
        <w:spacing w:before="60" w:after="0"/>
        <w:rPr>
          <w:rFonts w:ascii="Arial" w:hAnsi="Arial" w:cs="Arial"/>
        </w:rPr>
      </w:pPr>
      <w:r>
        <w:rPr>
          <w:rFonts w:cs="Arial" w:ascii="Arial" w:hAnsi="Arial"/>
        </w:rPr>
        <w:t>Redrafted PR message for meeting with Baraldo (external PR consultant).  Attended meeting with Baraldo, Mike Guerriero, Marta, and Cristian to explain our PR message for the Hearing.</w:t>
      </w:r>
    </w:p>
    <w:p>
      <w:pPr>
        <w:pStyle w:val="FootnoteText"/>
        <w:numPr>
          <w:ilvl w:val="0"/>
          <w:numId w:val="4"/>
        </w:numPr>
        <w:spacing w:before="60" w:after="0"/>
        <w:rPr>
          <w:rFonts w:ascii="Arial" w:hAnsi="Arial" w:cs="Arial"/>
        </w:rPr>
      </w:pPr>
      <w:r>
        <w:rPr>
          <w:rFonts w:cs="Arial" w:ascii="Arial" w:hAnsi="Arial"/>
        </w:rPr>
        <w:t>Attended conference call with Kelly Kimberly about Enron’s PR campaign regarding the Interruptible Public Hearing.</w:t>
      </w:r>
    </w:p>
    <w:p>
      <w:pPr>
        <w:pStyle w:val="FootnoteText"/>
        <w:numPr>
          <w:ilvl w:val="0"/>
          <w:numId w:val="4"/>
        </w:numPr>
        <w:spacing w:before="60" w:after="0"/>
        <w:rPr>
          <w:rFonts w:ascii="Arial" w:hAnsi="Arial" w:cs="Arial"/>
        </w:rPr>
      </w:pPr>
      <w:r>
        <w:rPr>
          <w:rFonts w:cs="Arial" w:ascii="Arial" w:hAnsi="Arial"/>
        </w:rPr>
        <w:t>Attended conference call with Cristian, Margaret Carson, James Steffes, and Pat Keene.  Main Remarks:</w:t>
      </w:r>
    </w:p>
    <w:p>
      <w:pPr>
        <w:pStyle w:val="FootnoteText"/>
        <w:numPr>
          <w:ilvl w:val="0"/>
          <w:numId w:val="2"/>
        </w:numPr>
        <w:spacing w:before="60" w:after="0"/>
        <w:rPr>
          <w:rFonts w:ascii="Arial" w:hAnsi="Arial" w:cs="Arial"/>
        </w:rPr>
      </w:pPr>
      <w:r>
        <w:rPr>
          <w:rFonts w:cs="Arial" w:ascii="Arial" w:hAnsi="Arial"/>
        </w:rPr>
        <w:t>The long-term plan is almost ready. We should broaden the participation of the marketers in the future to allow them to also serve residential customers.</w:t>
      </w:r>
    </w:p>
    <w:p>
      <w:pPr>
        <w:pStyle w:val="FootnoteText"/>
        <w:numPr>
          <w:ilvl w:val="0"/>
          <w:numId w:val="2"/>
        </w:numPr>
        <w:spacing w:before="60" w:after="0"/>
        <w:rPr>
          <w:rFonts w:ascii="Arial" w:hAnsi="Arial" w:cs="Arial"/>
        </w:rPr>
      </w:pPr>
      <w:r>
        <w:rPr>
          <w:rFonts w:cs="Arial" w:ascii="Arial" w:hAnsi="Arial"/>
        </w:rPr>
        <w:t>We will list all the services that would be offered by marketers in a fully unbundled market.</w:t>
      </w:r>
    </w:p>
    <w:p>
      <w:pPr>
        <w:pStyle w:val="FootnoteText"/>
        <w:numPr>
          <w:ilvl w:val="0"/>
          <w:numId w:val="2"/>
        </w:numPr>
        <w:spacing w:before="60" w:after="0"/>
        <w:rPr>
          <w:rFonts w:ascii="Arial" w:hAnsi="Arial" w:cs="Arial"/>
        </w:rPr>
      </w:pPr>
      <w:r>
        <w:rPr>
          <w:rFonts w:cs="Arial" w:ascii="Arial" w:hAnsi="Arial"/>
        </w:rPr>
        <w:t>We discussed the kind of proof that we need to support our position in the Interruptible Distribution Public Hearing.</w:t>
      </w:r>
    </w:p>
    <w:p>
      <w:pPr>
        <w:pStyle w:val="Heading4"/>
        <w:spacing w:before="60" w:after="0"/>
        <w:ind w:hanging="0" w:start="0"/>
        <w:rPr>
          <w:u w:val="none"/>
        </w:rPr>
      </w:pPr>
      <w:r>
        <w:rPr>
          <w:u w:val="none"/>
        </w:rPr>
        <w:t>GOVERNMENT AFFAIRS</w:t>
      </w:r>
    </w:p>
    <w:p>
      <w:pPr>
        <w:pStyle w:val="FootnoteText"/>
        <w:numPr>
          <w:ilvl w:val="0"/>
          <w:numId w:val="4"/>
        </w:numPr>
        <w:spacing w:before="60" w:after="0"/>
        <w:rPr>
          <w:rFonts w:ascii="Arial" w:hAnsi="Arial" w:cs="Arial"/>
        </w:rPr>
      </w:pPr>
      <w:r>
        <w:rPr>
          <w:rFonts w:cs="Arial" w:ascii="Arial" w:hAnsi="Arial"/>
        </w:rPr>
        <w:t>Sent information about the Public Hearing to several representatives who are interested in the subject. Talked to them or to their advisors about the importance of the hearing.</w:t>
      </w:r>
    </w:p>
    <w:p>
      <w:pPr>
        <w:pStyle w:val="FootnoteText"/>
        <w:numPr>
          <w:ilvl w:val="0"/>
          <w:numId w:val="4"/>
        </w:numPr>
        <w:spacing w:before="60" w:after="0"/>
        <w:rPr>
          <w:rFonts w:ascii="Arial" w:hAnsi="Arial" w:cs="Arial"/>
        </w:rPr>
      </w:pPr>
      <w:r>
        <w:rPr>
          <w:rFonts w:cs="Arial" w:ascii="Arial" w:hAnsi="Arial"/>
        </w:rPr>
        <w:t>Attended with Mike Guerriero a meeting with Guillermo Rozenwurcel (Secretary of Small Industries). We showed him that the reduction in the threshold to purchase from an alternative supplier will have a smaller impact than expected. We also talked about the benefits users could have if the threshold is reduced further.</w:t>
      </w:r>
    </w:p>
    <w:p>
      <w:pPr>
        <w:pStyle w:val="Heading4"/>
        <w:spacing w:before="60" w:after="0"/>
        <w:ind w:hanging="0" w:start="0"/>
        <w:rPr>
          <w:u w:val="none"/>
        </w:rPr>
      </w:pPr>
      <w:r>
        <w:rPr>
          <w:u w:val="none"/>
        </w:rPr>
        <w:t>OTHER</w:t>
      </w:r>
    </w:p>
    <w:p>
      <w:pPr>
        <w:pStyle w:val="FootnoteText"/>
        <w:numPr>
          <w:ilvl w:val="0"/>
          <w:numId w:val="4"/>
        </w:numPr>
        <w:spacing w:before="60" w:after="0"/>
        <w:rPr>
          <w:rFonts w:ascii="Arial" w:hAnsi="Arial" w:cs="Arial"/>
        </w:rPr>
      </w:pPr>
      <w:r>
        <w:rPr>
          <w:rFonts w:cs="Arial" w:ascii="Arial" w:hAnsi="Arial"/>
        </w:rPr>
        <w:t>Attended meeting with Rodríguez Alonso (UIA – Argentine Association of Industrials). He is the president of the Private Sector Energy Mercosur Forum, which joins a group of Argentine companies (including producers, transporters, distribution companies, and users of energy). The Forum must give advice to the government officials who represent Argentina in the SGT N° 9 (Mercosur working sub-group N° 9 in charge of Energy issues). However, he recognized that sometimes the government does not consult the Forum. Now the Argentine government officials in the SGT N°9 are Bechelli (formerly Gas Natural Ban, and currently virtual Undersecretary of Fuels) and Guichón (Director of Economy of Hydrocarbons). He said marketers should also be represented in the Forum and proposed that Enron participate. He was particularly interested in Enron creating a similar Forum in Brazil to advice the Brazilian government. To date, participation in the Forum is without cost because UIA pays all expenses. However, he mentioned that UIA is currently in a very difficult financial situation.</w:t>
      </w:r>
    </w:p>
    <w:p>
      <w:pPr>
        <w:pStyle w:val="Heading4"/>
        <w:spacing w:before="60" w:after="0"/>
        <w:ind w:hanging="0" w:start="0"/>
        <w:rPr>
          <w:rFonts w:ascii="Arial" w:hAnsi="Arial" w:cs="Arial"/>
        </w:rPr>
      </w:pPr>
      <w:r>
        <w:rPr>
          <w:rFonts w:cs="Arial"/>
        </w:rPr>
      </w:r>
    </w:p>
    <w:p>
      <w:pPr>
        <w:pStyle w:val="Heading4"/>
        <w:spacing w:before="60" w:after="0"/>
        <w:ind w:hanging="0" w:start="0"/>
        <w:rPr/>
      </w:pPr>
      <w:r>
        <w:rPr/>
        <w:t>Brazil</w:t>
      </w:r>
    </w:p>
    <w:p>
      <w:pPr>
        <w:pStyle w:val="FootnoteText"/>
        <w:numPr>
          <w:ilvl w:val="0"/>
          <w:numId w:val="4"/>
        </w:numPr>
        <w:spacing w:before="60" w:after="0"/>
        <w:rPr>
          <w:rFonts w:ascii="Arial" w:hAnsi="Arial" w:cs="Arial"/>
        </w:rPr>
      </w:pPr>
      <w:r>
        <w:rPr>
          <w:rFonts w:cs="Helv;Arial" w:ascii="Helv;Arial" w:hAnsi="Helv;Arial"/>
          <w:color w:val="000000"/>
        </w:rPr>
        <w:t>Prepared a position paper regarding property rights on Itaipu presented at an ABRADEE meeting held on February 18. This subject has been covertly discussed in some government forums. The amount at stake may represent up to US$ 400 MM/year if Eletrobrás’ intention to capture part of Itaipu's revenues comes to fruition. Enron is leading the effort. We collectively decided to put pressure on ANEEL and on MAE to prove that Eletrobrás is not eligible to receive any economic rent whatsoever. Work must be done on subtle technical and legal arguments.</w:t>
      </w:r>
    </w:p>
    <w:p>
      <w:pPr>
        <w:pStyle w:val="FootnoteText"/>
        <w:numPr>
          <w:ilvl w:val="0"/>
          <w:numId w:val="4"/>
        </w:numPr>
        <w:spacing w:before="60" w:after="0"/>
        <w:rPr>
          <w:rFonts w:ascii="Arial" w:hAnsi="Arial" w:cs="Arial"/>
        </w:rPr>
      </w:pPr>
      <w:r>
        <w:rPr>
          <w:rFonts w:cs="Helv;Arial" w:ascii="Helv;Arial" w:hAnsi="Helv;Arial"/>
          <w:color w:val="000000"/>
        </w:rPr>
        <w:t>Prepared and delivered Enron's comments on Public Hearing AP010/99, which deals with reduction of limits for free customers. Contrary to most distribution companies, we fully supported the concepts. However, we stressed that in order for this to happen, ANEEL must take a leading role and develop detailed planning and project management capabilities. Our position and presentation were praised by the Regulators.</w:t>
      </w:r>
    </w:p>
    <w:p>
      <w:pPr>
        <w:pStyle w:val="FootnoteText"/>
        <w:numPr>
          <w:ilvl w:val="0"/>
          <w:numId w:val="4"/>
        </w:numPr>
        <w:spacing w:before="60" w:after="0"/>
        <w:rPr>
          <w:rFonts w:ascii="Arial" w:hAnsi="Arial" w:cs="Arial"/>
        </w:rPr>
      </w:pPr>
      <w:r>
        <w:rPr>
          <w:rFonts w:cs="Helv;Arial" w:ascii="Helv;Arial" w:hAnsi="Helv;Arial"/>
          <w:color w:val="000000"/>
        </w:rPr>
        <w:t>Continued discussion on MAE rules, which should be approved February 29. There are still two important pending issues. The first is the implementation of the capacity fee concept, an issue Enron has been leading in the last few months. The conceptual framework is essentially completed (even in algebraic format). However, discussions continue as to the eligibility of existing plants contracted under the initial contracts to participate in the scheme. This opens up a Pandora's box, as one must verify (and possibly audit) the real technical availability of existing plants and compare the aggregate availability to the demand contracted under the Initial Contracts.  This issue is essential for generators and distributors to close the issue.</w:t>
      </w:r>
    </w:p>
    <w:p>
      <w:pPr>
        <w:pStyle w:val="FootnoteText"/>
        <w:numPr>
          <w:ilvl w:val="0"/>
          <w:numId w:val="4"/>
        </w:numPr>
        <w:spacing w:before="60" w:after="0"/>
        <w:rPr>
          <w:rFonts w:ascii="Arial" w:hAnsi="Arial" w:cs="Arial"/>
        </w:rPr>
      </w:pPr>
      <w:r>
        <w:rPr>
          <w:rFonts w:cs="Helv;Arial" w:ascii="Helv;Arial" w:hAnsi="Helv;Arial"/>
          <w:color w:val="000000"/>
        </w:rPr>
        <w:t>Participated in the MAE Technical Committee, where algebraic rules were examined in great detail to make certain that those rules fully represent what has been agreed to this point, as far as the concepts are concerned.</w:t>
      </w:r>
    </w:p>
    <w:p>
      <w:pPr>
        <w:pStyle w:val="FootnoteText"/>
        <w:numPr>
          <w:ilvl w:val="0"/>
          <w:numId w:val="4"/>
        </w:numPr>
        <w:spacing w:before="60" w:after="0"/>
        <w:rPr>
          <w:rFonts w:ascii="Arial" w:hAnsi="Arial" w:cs="Arial"/>
        </w:rPr>
      </w:pPr>
      <w:r>
        <w:rPr>
          <w:rFonts w:cs="Helv;Arial" w:ascii="Helv;Arial" w:hAnsi="Helv;Arial"/>
          <w:color w:val="000000"/>
        </w:rPr>
        <w:t>Gave presentation at the IBC Project Finance Seminar about the regulatory risks of power project developments in Brazil. Professionals from ANEEL attended the presentation. We conveyed a strong message that there is a particular regulatory risk [substantial] which cannot be hedged according to the current regulatory instruments, namely transmission charges and losses. We suggested to ANEEL to treat any variations of transportation losses and costs as a pass through element in the VN formula. We will formalize and detail our proposal shortly.</w:t>
      </w:r>
    </w:p>
    <w:p>
      <w:pPr>
        <w:pStyle w:val="FootnoteText"/>
        <w:numPr>
          <w:ilvl w:val="0"/>
          <w:numId w:val="4"/>
        </w:numPr>
        <w:spacing w:before="60" w:after="0"/>
        <w:rPr>
          <w:rFonts w:ascii="Arial" w:hAnsi="Arial" w:cs="Arial"/>
        </w:rPr>
      </w:pPr>
      <w:r>
        <w:rPr>
          <w:rFonts w:cs="Helv;Arial" w:ascii="Helv;Arial" w:hAnsi="Helv;Arial"/>
          <w:color w:val="000000"/>
        </w:rPr>
        <w:t>Supported the Cuiabá II team on issues regarding transportation tariff and transportation loss calculations, and how those could be hedged in the PPAs.</w:t>
      </w:r>
    </w:p>
    <w:p>
      <w:pPr>
        <w:pStyle w:val="Heading4"/>
        <w:spacing w:before="60" w:after="0"/>
        <w:ind w:hanging="0" w:start="0"/>
        <w:rPr>
          <w:rFonts w:ascii="Arial" w:hAnsi="Arial" w:cs="Arial"/>
        </w:rPr>
      </w:pPr>
      <w:r>
        <w:rPr>
          <w:rFonts w:cs="Arial"/>
        </w:rPr>
      </w:r>
    </w:p>
    <w:p>
      <w:pPr>
        <w:pStyle w:val="Heading4"/>
        <w:spacing w:before="60" w:after="0"/>
        <w:ind w:hanging="0" w:start="0"/>
        <w:rPr/>
      </w:pPr>
      <w:r>
        <w:rPr/>
        <w:t>Colombia and Dominican Republic</w:t>
      </w:r>
    </w:p>
    <w:p>
      <w:pPr>
        <w:pStyle w:val="FootnoteText"/>
        <w:numPr>
          <w:ilvl w:val="0"/>
          <w:numId w:val="4"/>
        </w:numPr>
        <w:spacing w:before="60" w:after="0"/>
        <w:rPr>
          <w:rFonts w:ascii="Arial" w:hAnsi="Arial" w:cs="Arial"/>
        </w:rPr>
      </w:pPr>
      <w:r>
        <w:rPr>
          <w:rFonts w:cs="Helv;Arial" w:ascii="Helv;Arial" w:hAnsi="Helv;Arial"/>
          <w:color w:val="000000"/>
        </w:rPr>
        <w:t>Continued to populate the database (scanning) with Colombia and Dominican Republic documents.</w:t>
      </w:r>
    </w:p>
    <w:p>
      <w:pPr>
        <w:pStyle w:val="Heading4"/>
        <w:spacing w:before="60" w:after="0"/>
        <w:ind w:hanging="0" w:start="0"/>
        <w:rPr>
          <w:rFonts w:ascii="Arial" w:hAnsi="Arial" w:cs="Arial"/>
        </w:rPr>
      </w:pPr>
      <w:r>
        <w:rPr>
          <w:rFonts w:cs="Arial"/>
        </w:rPr>
      </w:r>
    </w:p>
    <w:p>
      <w:pPr>
        <w:pStyle w:val="Heading4"/>
        <w:spacing w:before="60" w:after="0"/>
        <w:ind w:hanging="0" w:start="0"/>
        <w:rPr/>
      </w:pPr>
      <w:r>
        <w:rPr/>
        <w:t>Dominican Republic</w:t>
      </w:r>
    </w:p>
    <w:p>
      <w:pPr>
        <w:pStyle w:val="FootnoteText"/>
        <w:numPr>
          <w:ilvl w:val="0"/>
          <w:numId w:val="4"/>
        </w:numPr>
        <w:spacing w:before="60" w:after="0"/>
        <w:rPr>
          <w:rFonts w:ascii="Arial" w:hAnsi="Arial" w:cs="Arial"/>
        </w:rPr>
      </w:pPr>
      <w:r>
        <w:rPr>
          <w:rFonts w:cs="Helv;Arial" w:ascii="Helv;Arial" w:hAnsi="Helv;Arial"/>
          <w:color w:val="000000"/>
        </w:rPr>
        <w:t>Prepared a presentation of the suggested changes to the current IPP association to change it to a general association of all agents of the electricity market.</w:t>
      </w:r>
    </w:p>
    <w:p>
      <w:pPr>
        <w:pStyle w:val="FootnoteText"/>
        <w:numPr>
          <w:ilvl w:val="0"/>
          <w:numId w:val="4"/>
        </w:numPr>
        <w:spacing w:before="60" w:after="0"/>
        <w:rPr>
          <w:rFonts w:ascii="Arial" w:hAnsi="Arial" w:cs="Arial"/>
        </w:rPr>
      </w:pPr>
      <w:r>
        <w:rPr>
          <w:rFonts w:cs="Helv;Arial" w:ascii="Helv;Arial" w:hAnsi="Helv;Arial"/>
          <w:color w:val="000000"/>
        </w:rPr>
        <w:t>Presented Enron's position to the IPPs in the Dominican Republic seeking their approval to expand their association.  Discussed the following issues with IPP representatives:</w:t>
      </w:r>
    </w:p>
    <w:p>
      <w:pPr>
        <w:pStyle w:val="FootnoteText"/>
        <w:numPr>
          <w:ilvl w:val="0"/>
          <w:numId w:val="5"/>
        </w:numPr>
        <w:spacing w:before="60" w:after="0"/>
        <w:rPr>
          <w:rFonts w:ascii="Arial" w:hAnsi="Arial" w:cs="Arial"/>
        </w:rPr>
      </w:pPr>
      <w:r>
        <w:rPr>
          <w:rFonts w:cs="Helv;Arial" w:ascii="Helv;Arial" w:hAnsi="Helv;Arial"/>
          <w:color w:val="000000"/>
        </w:rPr>
        <w:t>What is the treatment of the transmission system operator (currently not a member)? The hint I got is that this agent may be a member of the association as soon as the system becomes privately operated.</w:t>
      </w:r>
    </w:p>
    <w:p>
      <w:pPr>
        <w:pStyle w:val="FootnoteText"/>
        <w:numPr>
          <w:ilvl w:val="0"/>
          <w:numId w:val="5"/>
        </w:numPr>
        <w:spacing w:before="60" w:after="0"/>
        <w:rPr>
          <w:rFonts w:ascii="Arial" w:hAnsi="Arial" w:cs="Arial"/>
        </w:rPr>
      </w:pPr>
      <w:r>
        <w:rPr>
          <w:rFonts w:cs="Helv;Arial" w:ascii="Helv;Arial" w:hAnsi="Helv;Arial"/>
          <w:color w:val="000000"/>
        </w:rPr>
        <w:t>What is the basis on which the budget was created? I informed the meeting members that I did use the budget of ASIEX as a model ensuring that some activities (e.g., public relations, publications, salaries for statisticians) are added.</w:t>
      </w:r>
    </w:p>
    <w:p>
      <w:pPr>
        <w:pStyle w:val="FootnoteText"/>
        <w:numPr>
          <w:ilvl w:val="0"/>
          <w:numId w:val="5"/>
        </w:numPr>
        <w:spacing w:before="60" w:after="0"/>
        <w:rPr>
          <w:rFonts w:ascii="Arial" w:hAnsi="Arial" w:cs="Arial"/>
        </w:rPr>
      </w:pPr>
      <w:r>
        <w:rPr>
          <w:rFonts w:cs="Helv;Arial" w:ascii="Helv;Arial" w:hAnsi="Helv;Arial"/>
          <w:color w:val="000000"/>
        </w:rPr>
        <w:t>Why voting is weighed by relative share of market size, and should this voting mechanism be on a one-member-one-vote basis? I did not over defend the suggested voting by relative share more than to mention that whatever is decided should be reflected by how the annual fees will be paid.  I did mention that smaller agents will pay relatively a high share and this may not be fair.</w:t>
      </w:r>
    </w:p>
    <w:p>
      <w:pPr>
        <w:pStyle w:val="FootnoteText"/>
        <w:numPr>
          <w:ilvl w:val="0"/>
          <w:numId w:val="4"/>
        </w:numPr>
        <w:spacing w:before="60" w:after="0"/>
        <w:rPr>
          <w:rFonts w:ascii="Arial" w:hAnsi="Arial" w:cs="Arial"/>
        </w:rPr>
      </w:pPr>
      <w:r>
        <w:rPr>
          <w:rFonts w:cs="Helv;Arial" w:ascii="Helv;Arial" w:hAnsi="Helv;Arial"/>
          <w:color w:val="000000"/>
        </w:rPr>
        <w:t>An action plan has been suggested with SECLEP's (Enron) Team.</w:t>
      </w:r>
    </w:p>
    <w:p>
      <w:pPr>
        <w:pStyle w:val="FootnoteText"/>
        <w:numPr>
          <w:ilvl w:val="0"/>
          <w:numId w:val="4"/>
        </w:numPr>
        <w:spacing w:before="60" w:after="0"/>
        <w:rPr>
          <w:rFonts w:ascii="Arial" w:hAnsi="Arial" w:cs="Arial"/>
        </w:rPr>
      </w:pPr>
      <w:r>
        <w:rPr>
          <w:rFonts w:cs="Helv;Arial" w:ascii="Helv;Arial" w:hAnsi="Helv;Arial"/>
          <w:color w:val="000000"/>
        </w:rPr>
        <w:t>Met with Marcos Cochon, the Superintendent of Electricity in the Dominican Republic in Santo Domingo his Friday, February 18th.  Provided the Superintendent of a copy of the Panamanian Unified Code of accounts for all agents of the electricity market as a prelude to a meaningful cost of service study from all distribution companies necessary for any policy measures related to rates, subsides, or competition.  The Superintendent is seeking our help with the following issues:</w:t>
      </w:r>
    </w:p>
    <w:p>
      <w:pPr>
        <w:pStyle w:val="FootnoteText"/>
        <w:numPr>
          <w:ilvl w:val="0"/>
          <w:numId w:val="5"/>
        </w:numPr>
        <w:spacing w:before="60" w:after="0"/>
        <w:rPr>
          <w:rFonts w:ascii="Arial" w:hAnsi="Arial" w:cs="Arial"/>
        </w:rPr>
      </w:pPr>
      <w:r>
        <w:rPr>
          <w:rFonts w:cs="Helv;Arial" w:ascii="Helv;Arial" w:hAnsi="Helv;Arial"/>
          <w:color w:val="000000"/>
        </w:rPr>
        <w:t>How are other regulatory systems dealing with granting rate subsides to some customer classes?  I promised to provide him with examples of what Panama's Law 6 suggests.</w:t>
      </w:r>
    </w:p>
    <w:p>
      <w:pPr>
        <w:pStyle w:val="FootnoteText"/>
        <w:numPr>
          <w:ilvl w:val="0"/>
          <w:numId w:val="5"/>
        </w:numPr>
        <w:spacing w:before="60" w:after="0"/>
        <w:rPr>
          <w:rFonts w:ascii="Arial" w:hAnsi="Arial" w:cs="Arial"/>
        </w:rPr>
      </w:pPr>
      <w:r>
        <w:rPr>
          <w:rFonts w:cs="Helv;Arial" w:ascii="Helv;Arial" w:hAnsi="Helv;Arial"/>
          <w:color w:val="000000"/>
        </w:rPr>
        <w:t>How do regulatory entities deal with distribution companies in reference to serious meter reading errors?  What are the limits of sanctions and penalties that other systems impose?  I promised to provide examples from other systems in the next visit.</w:t>
      </w:r>
    </w:p>
    <w:p>
      <w:pPr>
        <w:pStyle w:val="FootnoteText"/>
        <w:numPr>
          <w:ilvl w:val="0"/>
          <w:numId w:val="4"/>
        </w:numPr>
        <w:spacing w:before="60" w:after="0"/>
        <w:rPr>
          <w:rFonts w:ascii="Arial" w:hAnsi="Arial" w:cs="Arial"/>
        </w:rPr>
      </w:pPr>
      <w:r>
        <w:rPr>
          <w:rFonts w:cs="Helv;Arial" w:ascii="Helv;Arial" w:hAnsi="Helv;Arial"/>
          <w:color w:val="000000"/>
        </w:rPr>
        <w:t>Met with Haina Team and informed them of the content of the meeting with the Superintendent.</w:t>
      </w:r>
    </w:p>
    <w:p>
      <w:pPr>
        <w:pStyle w:val="Heading4"/>
        <w:spacing w:before="60" w:after="0"/>
        <w:ind w:hanging="0" w:start="0"/>
        <w:rPr>
          <w:rFonts w:ascii="Arial" w:hAnsi="Arial" w:cs="Arial"/>
        </w:rPr>
      </w:pPr>
      <w:r>
        <w:rPr>
          <w:rFonts w:cs="Arial"/>
        </w:rPr>
      </w:r>
    </w:p>
    <w:p>
      <w:pPr>
        <w:pStyle w:val="Heading4"/>
        <w:spacing w:before="60" w:after="0"/>
        <w:ind w:hanging="0" w:start="0"/>
        <w:rPr/>
      </w:pPr>
      <w:r>
        <w:rPr/>
        <w:t>Nicaragua</w:t>
      </w:r>
    </w:p>
    <w:p>
      <w:pPr>
        <w:pStyle w:val="FootnoteText"/>
        <w:numPr>
          <w:ilvl w:val="0"/>
          <w:numId w:val="4"/>
        </w:numPr>
        <w:spacing w:before="60" w:after="0"/>
        <w:rPr>
          <w:rFonts w:ascii="Arial" w:hAnsi="Arial" w:cs="Arial"/>
        </w:rPr>
      </w:pPr>
      <w:r>
        <w:rPr>
          <w:rFonts w:cs="Helv;Arial" w:ascii="Helv;Arial" w:hAnsi="Helv;Arial"/>
          <w:color w:val="000000"/>
        </w:rPr>
        <w:t>Researched relevant laws and electricity for Nicaragua.</w:t>
      </w:r>
    </w:p>
    <w:p>
      <w:pPr>
        <w:pStyle w:val="FootnoteText"/>
        <w:numPr>
          <w:ilvl w:val="0"/>
          <w:numId w:val="4"/>
        </w:numPr>
        <w:spacing w:before="60" w:after="0"/>
        <w:rPr>
          <w:rFonts w:ascii="Arial" w:hAnsi="Arial" w:cs="Arial"/>
        </w:rPr>
      </w:pPr>
      <w:r>
        <w:rPr>
          <w:rFonts w:cs="Helv;Arial" w:ascii="Helv;Arial" w:hAnsi="Helv;Arial"/>
          <w:color w:val="000000"/>
        </w:rPr>
        <w:t>Continued the write up of the Regulatory Summary for Nicaragua.</w:t>
      </w:r>
    </w:p>
    <w:p>
      <w:pPr>
        <w:pStyle w:val="Heading4"/>
        <w:spacing w:before="60" w:after="0"/>
        <w:ind w:hanging="0" w:start="0"/>
        <w:rPr>
          <w:rFonts w:ascii="Arial" w:hAnsi="Arial" w:cs="Arial"/>
        </w:rPr>
      </w:pPr>
      <w:r>
        <w:rPr>
          <w:rFonts w:cs="Arial"/>
        </w:rPr>
      </w:r>
    </w:p>
    <w:p>
      <w:pPr>
        <w:pStyle w:val="Heading4"/>
        <w:spacing w:before="60" w:after="0"/>
        <w:ind w:hanging="0" w:start="0"/>
        <w:rPr/>
      </w:pPr>
      <w:r>
        <w:rPr/>
        <w:t>Panama</w:t>
      </w:r>
    </w:p>
    <w:p>
      <w:pPr>
        <w:pStyle w:val="FootnoteText"/>
        <w:numPr>
          <w:ilvl w:val="0"/>
          <w:numId w:val="4"/>
        </w:numPr>
        <w:spacing w:before="60" w:after="0"/>
        <w:rPr>
          <w:rFonts w:ascii="Arial" w:hAnsi="Arial" w:cs="Arial"/>
        </w:rPr>
      </w:pPr>
      <w:r>
        <w:rPr>
          <w:rFonts w:cs="Helv;Arial" w:ascii="Helv;Arial" w:hAnsi="Helv;Arial"/>
          <w:color w:val="000000"/>
        </w:rPr>
        <w:t>Started a research project for the rules of indexation of energy and capacity prices in PPA to account for the discrepancy between financial and contractual obligations and their impact on prices to Distribution Companies.</w:t>
      </w:r>
    </w:p>
    <w:p>
      <w:pPr>
        <w:pStyle w:val="Heading4"/>
        <w:spacing w:before="60" w:after="0"/>
        <w:ind w:hanging="0" w:start="0"/>
        <w:rPr>
          <w:rFonts w:ascii="Arial" w:hAnsi="Arial" w:cs="Arial"/>
        </w:rPr>
      </w:pPr>
      <w:r>
        <w:rPr>
          <w:rFonts w:cs="Arial"/>
        </w:rPr>
      </w:r>
    </w:p>
    <w:p>
      <w:pPr>
        <w:pStyle w:val="Heading4"/>
        <w:spacing w:before="60" w:after="0"/>
        <w:ind w:hanging="0" w:start="0"/>
        <w:rPr/>
      </w:pPr>
      <w:r>
        <w:rPr/>
        <w:t>Venezuela</w:t>
      </w:r>
    </w:p>
    <w:p>
      <w:pPr>
        <w:pStyle w:val="Normal"/>
        <w:spacing w:lineRule="atLeast" w:line="240" w:before="60" w:after="0"/>
        <w:rPr>
          <w:color w:val="000000"/>
          <w:sz w:val="20"/>
        </w:rPr>
      </w:pPr>
      <w:r>
        <w:rPr>
          <w:color w:val="000000"/>
          <w:sz w:val="20"/>
        </w:rPr>
        <w:t>ELECTRICITY</w:t>
      </w:r>
    </w:p>
    <w:p>
      <w:pPr>
        <w:pStyle w:val="FootnoteText"/>
        <w:numPr>
          <w:ilvl w:val="0"/>
          <w:numId w:val="4"/>
        </w:numPr>
        <w:spacing w:before="60" w:after="0"/>
        <w:rPr>
          <w:rFonts w:ascii="Arial" w:hAnsi="Arial" w:cs="Arial"/>
        </w:rPr>
      </w:pPr>
      <w:r>
        <w:rPr>
          <w:rFonts w:cs="Helv;Arial" w:ascii="Helv;Arial" w:hAnsi="Helv;Arial"/>
          <w:color w:val="000000"/>
        </w:rPr>
        <w:t>Met with Ministry of Energy and Mines (MEM) Director Victor Poleo regarding CALIFE tariffs.  The government is mandating a rate freeze for all residential customers in the country, which would cost CALIFE approximately $800,000.  The government acknowledged that it would partially compensate the utilities for approximately 60% of the loss with fuel cost reductions. In the case of CALIFE, which has no generation assets, the reduction would come through the power it purchases. Another meeting is set for Monday to discuss compensation for the remaining 40%.</w:t>
      </w:r>
    </w:p>
    <w:p>
      <w:pPr>
        <w:pStyle w:val="FootnoteText"/>
        <w:numPr>
          <w:ilvl w:val="0"/>
          <w:numId w:val="4"/>
        </w:numPr>
        <w:spacing w:before="60" w:after="0"/>
        <w:rPr>
          <w:rFonts w:ascii="Arial" w:hAnsi="Arial" w:cs="Arial"/>
        </w:rPr>
      </w:pPr>
      <w:r>
        <w:rPr>
          <w:rFonts w:cs="Helv;Arial" w:ascii="Helv;Arial" w:hAnsi="Helv;Arial"/>
          <w:color w:val="000000"/>
        </w:rPr>
        <w:t>Met regarding the design of the wholesale market with MEM Director Poleo and representatives of PDVSA, electric utilities, the Venezuelan Investment Fund, Fundelec, and other MEM officials. Poleo offered his view of how the government should control the costs of electricity. His proposal is contrary to the intent of the law to create a competitive wholesale market. His idea of a market is to define the price of hydro generation based on the availability of water. A tariff for gas, the "electric gas" would be determined based on the expected availability of water for the coming four years. I proposed auctioning capacity blocks, given the law's prohibition of allowing the private sector to own hydro assets in the Guayana region. The utilities and the Venezuelan Investment Fund (a state agency) received the proposal very well, but Poleo dismissed it.  Electricidad de Caracas is suggesting that we write a working paper to highlight the problem of the government's proposal and how this alternative promotes the development of the industry.</w:t>
      </w:r>
    </w:p>
    <w:p>
      <w:pPr>
        <w:pStyle w:val="Normal"/>
        <w:spacing w:lineRule="atLeast" w:line="240" w:before="60" w:after="0"/>
        <w:rPr>
          <w:color w:val="000000"/>
          <w:sz w:val="20"/>
        </w:rPr>
      </w:pPr>
      <w:r>
        <w:rPr>
          <w:color w:val="000000"/>
          <w:sz w:val="20"/>
        </w:rPr>
        <w:t>NATURAL GAS</w:t>
      </w:r>
    </w:p>
    <w:p>
      <w:pPr>
        <w:pStyle w:val="FootnoteText"/>
        <w:numPr>
          <w:ilvl w:val="0"/>
          <w:numId w:val="4"/>
        </w:numPr>
        <w:spacing w:before="60" w:after="0"/>
        <w:rPr>
          <w:rFonts w:ascii="Arial" w:hAnsi="Arial" w:cs="Arial"/>
        </w:rPr>
      </w:pPr>
      <w:r>
        <w:rPr>
          <w:rFonts w:cs="Helv;Arial" w:ascii="Helv;Arial" w:hAnsi="Helv;Arial"/>
          <w:color w:val="000000"/>
        </w:rPr>
        <w:t>The regulation of the new gas law is still under review by the Attorney General's office. No date has been set for its approval.</w:t>
      </w:r>
    </w:p>
    <w:p>
      <w:pPr>
        <w:pStyle w:val="Normal"/>
        <w:spacing w:lineRule="atLeast" w:line="240"/>
        <w:rPr>
          <w:rFonts w:ascii="Arial" w:hAnsi="Arial" w:cs="Arial"/>
          <w:color w:val="000000"/>
          <w:sz w:val="20"/>
        </w:rPr>
      </w:pPr>
      <w:r>
        <w:rPr>
          <w:rFonts w:cs="Arial"/>
          <w:color w:val="000000"/>
          <w:sz w:val="20"/>
        </w:rPr>
      </w:r>
    </w:p>
    <w:p>
      <w:pPr>
        <w:pStyle w:val="Subject"/>
        <w:tabs>
          <w:tab w:val="left" w:pos="540" w:leader="none"/>
        </w:tabs>
        <w:spacing w:lineRule="atLeast" w:line="240"/>
        <w:rPr>
          <w:color w:val="000000"/>
          <w:sz w:val="20"/>
        </w:rPr>
      </w:pPr>
      <w:r>
        <w:rPr>
          <w:color w:val="000000"/>
          <w:sz w:val="20"/>
        </w:rPr>
      </w:r>
    </w:p>
    <w:p>
      <w:pPr>
        <w:pStyle w:val="Footer"/>
        <w:tabs>
          <w:tab w:val="clear" w:pos="4320"/>
          <w:tab w:val="clear" w:pos="8640"/>
          <w:tab w:val="left" w:pos="540" w:leader="none"/>
        </w:tabs>
        <w:rPr>
          <w:sz w:val="20"/>
        </w:rPr>
      </w:pPr>
      <w:r>
        <w:rPr>
          <w:sz w:val="20"/>
        </w:rPr>
      </w:r>
    </w:p>
    <w:sectPr>
      <w:headerReference w:type="default" r:id="rId4"/>
      <w:headerReference w:type="first" r:id="rId5"/>
      <w:footerReference w:type="default" r:id="rId6"/>
      <w:footerReference w:type="first" r:id="rId7"/>
      <w:type w:val="nextPage"/>
      <w:pgSz w:w="12240" w:h="15840"/>
      <w:pgMar w:left="1440" w:right="1440" w:gutter="0" w:header="720" w:top="1440" w:footer="360" w:bottom="122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900" w:leader="none"/>
        <w:tab w:val="left" w:pos="3060" w:leader="none"/>
        <w:tab w:val="left" w:pos="5220" w:leader="none"/>
        <w:tab w:val="left" w:pos="77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s>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900" w:leader="none"/>
        <w:tab w:val="left" w:pos="3060" w:leader="none"/>
        <w:tab w:val="left" w:pos="5220" w:leader="none"/>
        <w:tab w:val="left" w:pos="792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 w:val="right" w:pos="10800" w:leader="none"/>
      </w:tabs>
      <w:rPr>
        <w:sz w:val="12"/>
      </w:rPr>
    </w:pPr>
    <w:r>
      <w:rPr>
        <w:sz w:val="12"/>
      </w:rPr>
    </w:r>
  </w:p>
  <w:p>
    <w:pPr>
      <w:pStyle w:val="Footer"/>
      <w:tabs>
        <w:tab w:val="clear" w:pos="4320"/>
        <w:tab w:val="clear" w:pos="8640"/>
        <w:tab w:val="right" w:pos="9360" w:leader="none"/>
      </w:tabs>
      <w:rPr>
        <w:sz w:val="16"/>
      </w:rPr>
    </w:pPr>
    <w:r>
      <w:rPr>
        <w:sz w:val="16"/>
      </w:rPr>
      <w:tab/>
      <w:t>rab/word/sig_events/sig_021800.doc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rPr/>
    </w:pPr>
    <w:r>
      <w:rPr>
        <w:sz w:val="20"/>
      </w:rPr>
      <w:tab/>
    </w:r>
    <w:r>
      <w:rPr>
        <w:sz w:val="20"/>
      </w:rPr>
      <w:fldChar w:fldCharType="begin"/>
    </w:r>
    <w:r>
      <w:rPr>
        <w:sz w:val="20"/>
      </w:rPr>
      <w:instrText xml:space="preserve"> DATE \@"M/d/yyyy" </w:instrText>
    </w:r>
    <w:r>
      <w:rPr>
        <w:sz w:val="20"/>
      </w:rPr>
      <w:fldChar w:fldCharType="separate"/>
    </w:r>
    <w:r>
      <w:rPr>
        <w:sz w:val="20"/>
      </w:rPr>
      <w:t>9/28/2025</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sz w:val="20"/>
      </w:rPr>
      <w:t>4</w:t>
    </w:r>
    <w:r>
      <w:rP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2922270</wp:posOffset>
              </wp:positionH>
              <wp:positionV relativeFrom="paragraph">
                <wp:posOffset>-275590</wp:posOffset>
              </wp:positionV>
              <wp:extent cx="3877310" cy="584200"/>
              <wp:effectExtent l="0" t="0" r="0" b="0"/>
              <wp:wrapSquare wrapText="bothSides"/>
              <wp:docPr id="1" name="Frame1"/>
              <a:graphic xmlns:a="http://schemas.openxmlformats.org/drawingml/2006/main">
                <a:graphicData uri="http://schemas.microsoft.com/office/word/2010/wordprocessingShape">
                  <wps:wsp>
                    <wps:cNvSpPr txBox="1"/>
                    <wps:spPr>
                      <a:xfrm>
                        <a:off x="0" y="0"/>
                        <a:ext cx="3877310" cy="584200"/>
                      </a:xfrm>
                      <a:prstGeom prst="rect"/>
                      <a:solidFill>
                        <a:srgbClr val="FFFFFF">
                          <a:alpha val="0"/>
                        </a:srgbClr>
                      </a:solidFill>
                    </wps:spPr>
                    <wps:txbx>
                      <w:txbxContent>
                        <w:p>
                          <w:pPr>
                            <w:pStyle w:val="Normal"/>
                            <w:ind w:start="3600" w:end="0"/>
                            <w:rPr>
                              <w:sz w:val="40"/>
                            </w:rPr>
                          </w:pPr>
                          <w:r>
                            <w:rPr>
                              <w:sz w:val="40"/>
                            </w:rPr>
                            <w:t>Interoffice Memorandum</w:t>
                          </w:r>
                        </w:p>
                      </w:txbxContent>
                    </wps:txbx>
                    <wps:bodyPr anchor="t" lIns="0" tIns="0" rIns="0" bIns="0">
                      <a:noAutofit/>
                    </wps:bodyPr>
                  </wps:wsp>
                </a:graphicData>
              </a:graphic>
            </wp:anchor>
          </w:drawing>
        </mc:Choice>
        <mc:Fallback>
          <w:pict>
            <v:rect fillcolor="#FFFFFF" style="position:absolute;rotation:-0;width:305.3pt;height:46pt;mso-wrap-distance-left:9.35pt;mso-wrap-distance-right:9.35pt;mso-wrap-distance-top:0pt;mso-wrap-distance-bottom:0pt;margin-top:-21.7pt;mso-position-vertical-relative:text;margin-left:230.1pt;mso-position-horizontal-relative:page">
              <v:fill opacity="0f"/>
              <v:textbox inset="0in,0in,0in,0in">
                <w:txbxContent>
                  <w:p>
                    <w:pPr>
                      <w:pStyle w:val="Normal"/>
                      <w:ind w:start="3600" w:end="0"/>
                      <w:rPr>
                        <w:sz w:val="40"/>
                      </w:rPr>
                    </w:pPr>
                    <w:r>
                      <w:rPr>
                        <w:sz w:val="40"/>
                      </w:rPr>
                      <w:t>Interoffice 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Liberation Serif" w:hAnsi="Liberation Serif" w:cs="Liberation Serif" w:hint="default"/>
      </w:rPr>
    </w:lvl>
  </w:abstractNum>
  <w:abstractNum w:abstractNumId="3">
    <w:lvl w:ilvl="0">
      <w:start w:val="1"/>
      <w:numFmt w:val="bullet"/>
      <w:lvlText w:val="-"/>
      <w:lvlJc w:val="start"/>
      <w:pPr>
        <w:tabs>
          <w:tab w:val="num" w:pos="720"/>
        </w:tabs>
        <w:ind w:start="720" w:hanging="360"/>
      </w:pPr>
      <w:rPr>
        <w:rFonts w:ascii="Liberation Serif" w:hAnsi="Liberation Serif" w:cs="Liberation Serif"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Liberation Serif" w:hAnsi="Liberation Serif" w:cs="Liberation Serif"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en-US" w:bidi="hi-IN"/>
    </w:rPr>
  </w:style>
  <w:style w:type="paragraph" w:styleId="Heading1">
    <w:name w:val="heading 1"/>
    <w:basedOn w:val="Normal"/>
    <w:next w:val="Normal"/>
    <w:qFormat/>
    <w:pPr>
      <w:keepNext w:val="true"/>
      <w:numPr>
        <w:ilvl w:val="0"/>
        <w:numId w:val="1"/>
      </w:numPr>
      <w:spacing w:lineRule="atLeast" w:line="240"/>
      <w:outlineLvl w:val="0"/>
    </w:pPr>
    <w:rPr>
      <w:color w:val="000000"/>
      <w:sz w:val="20"/>
      <w:u w:val="single"/>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540"/>
      </w:tabs>
      <w:spacing w:before="60" w:after="60"/>
      <w:outlineLvl w:val="3"/>
    </w:pPr>
    <w:rPr>
      <w:sz w:val="20"/>
      <w:u w:val="single"/>
    </w:rPr>
  </w:style>
  <w:style w:type="paragraph" w:styleId="Heading5">
    <w:name w:val="heading 5"/>
    <w:basedOn w:val="Normal"/>
    <w:next w:val="Normal"/>
    <w:qFormat/>
    <w:pPr>
      <w:keepNext w:val="true"/>
      <w:numPr>
        <w:ilvl w:val="4"/>
        <w:numId w:val="1"/>
      </w:numPr>
      <w:tabs>
        <w:tab w:val="clear" w:pos="540"/>
      </w:tabs>
      <w:jc w:val="both"/>
      <w:outlineLvl w:val="4"/>
    </w:pPr>
    <w:rPr>
      <w:b/>
      <w:lang w:eastAsia="en-CA"/>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Times New Roman" w:hAnsi="Times New Roman" w:cs="Times New Roman"/>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9z0">
    <w:name w:val="WW8Num9z0"/>
    <w:qFormat/>
    <w:rPr/>
  </w:style>
  <w:style w:type="character" w:styleId="WW8Num11z0">
    <w:name w:val="WW8Num11z0"/>
    <w:qFormat/>
    <w:rPr>
      <w:rFonts w:ascii="Times New Roman" w:hAnsi="Times New Roman" w:cs="Times New Roman"/>
    </w:rPr>
  </w:style>
  <w:style w:type="character" w:styleId="WW8Num12z0">
    <w:name w:val="WW8Num12z0"/>
    <w:qFormat/>
    <w:rPr>
      <w:rFonts w:ascii="Times New Roman" w:hAnsi="Times New Roman" w:cs="Times New Roman"/>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Times New Roman" w:hAnsi="Times New Roman" w:cs="Times New Roman"/>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Times New Roman" w:hAnsi="Times New Roman" w:cs="Times New Roman"/>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Times New Roman" w:hAnsi="Times New Roman" w:cs="Times New Roman"/>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style>
  <w:style w:type="character" w:styleId="WW8Num31z0">
    <w:name w:val="WW8Num31z0"/>
    <w:qFormat/>
    <w:rPr>
      <w:rFonts w:ascii="Symbol" w:hAnsi="Symbol" w:cs="Symbol"/>
      <w:color w:val="auto"/>
    </w:rPr>
  </w:style>
  <w:style w:type="character" w:styleId="WW8Num32z0">
    <w:name w:val="WW8Num32z0"/>
    <w:qFormat/>
    <w:rPr/>
  </w:style>
  <w:style w:type="character" w:styleId="WW8Num33z0">
    <w:name w:val="WW8Num33z0"/>
    <w:qFormat/>
    <w:rPr>
      <w:rFonts w:ascii="Symbol" w:hAnsi="Symbol" w:cs="Symbol"/>
    </w:rPr>
  </w:style>
  <w:style w:type="character" w:styleId="WW8Num34z0">
    <w:name w:val="WW8Num34z0"/>
    <w:qFormat/>
    <w:rPr>
      <w:rFonts w:ascii="Times New Roman" w:hAnsi="Times New Roman" w:cs="Times New Roman"/>
    </w:rPr>
  </w:style>
  <w:style w:type="character" w:styleId="WW8Num35z0">
    <w:name w:val="WW8Num35z0"/>
    <w:qFormat/>
    <w:rPr/>
  </w:style>
  <w:style w:type="character" w:styleId="WW8Num36z0">
    <w:name w:val="WW8Num36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jc w:val="both"/>
    </w:pPr>
    <w:rPr>
      <w:rFonts w:ascii="Times New Roman" w:hAnsi="Times New Roman" w:cs="Times New Roman"/>
      <w:lang w:val="es-AR" w:eastAsia="en-CA"/>
    </w:rPr>
  </w:style>
  <w:style w:type="paragraph" w:styleId="List">
    <w:name w:val="List"/>
    <w:basedOn w:val="BodyText"/>
    <w:pPr/>
    <w:rPr>
      <w:rFonts w:cs="NotoSans NF"/>
    </w:rPr>
  </w:style>
  <w:style w:type="paragraph" w:styleId="Caption">
    <w:name w:val="caption"/>
    <w:basedOn w:val="Normal"/>
    <w:next w:val="Normal"/>
    <w:qFormat/>
    <w:pPr>
      <w:ind w:hanging="0" w:start="2160" w:end="0"/>
    </w:pPr>
    <w:rPr>
      <w:b/>
      <w:sz w:val="32"/>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FootnoteText">
    <w:name w:val="footnote text"/>
    <w:basedOn w:val="Normal"/>
    <w:pPr>
      <w:tabs>
        <w:tab w:val="clear" w:pos="540"/>
      </w:tabs>
      <w:spacing w:before="60" w:after="60"/>
      <w:ind w:hanging="360" w:start="360" w:end="0"/>
    </w:pPr>
    <w:rPr>
      <w:rFonts w:ascii="Times New Roman" w:hAnsi="Times New Roman" w:cs="Times New Roman"/>
      <w:sz w:val="20"/>
    </w:rPr>
  </w:style>
  <w:style w:type="paragraph" w:styleId="BodyTextIndent3">
    <w:name w:val="Body Text Indent 3"/>
    <w:basedOn w:val="Normal"/>
    <w:qFormat/>
    <w:pPr>
      <w:tabs>
        <w:tab w:val="clear" w:pos="540"/>
      </w:tabs>
      <w:ind w:hanging="0" w:start="360" w:end="0"/>
      <w:jc w:val="both"/>
    </w:pPr>
    <w:rPr>
      <w:rFonts w:ascii="Helv;Arial" w:hAnsi="Helv;Arial" w:cs="Helv;Arial"/>
      <w:color w:val="000000"/>
      <w:lang w:eastAsia="es-ES"/>
    </w:rPr>
  </w:style>
  <w:style w:type="paragraph" w:styleId="BodyTextIndent">
    <w:name w:val="Body Text Indent"/>
    <w:basedOn w:val="Normal"/>
    <w:pPr>
      <w:tabs>
        <w:tab w:val="clear" w:pos="540"/>
        <w:tab w:val="left" w:pos="360" w:leader="none"/>
      </w:tabs>
      <w:spacing w:lineRule="atLeast" w:line="240"/>
      <w:ind w:hanging="360" w:start="720" w:end="0"/>
    </w:pPr>
    <w:rPr>
      <w:color w:val="000000"/>
      <w:sz w:val="20"/>
    </w:rPr>
  </w:style>
  <w:style w:type="paragraph" w:styleId="Subtitle">
    <w:name w:val="Subtitle"/>
    <w:basedOn w:val="Normal"/>
    <w:next w:val="BodyText"/>
    <w:qFormat/>
    <w:pPr>
      <w:tabs>
        <w:tab w:val="clear" w:pos="540"/>
      </w:tabs>
      <w:jc w:val="both"/>
    </w:pPr>
    <w:rPr>
      <w:b/>
      <w:lang w:eastAsia="en-CA"/>
    </w:rPr>
  </w:style>
  <w:style w:type="paragraph" w:styleId="BodyTextIndent2">
    <w:name w:val="Body Text Indent 2"/>
    <w:basedOn w:val="Normal"/>
    <w:qFormat/>
    <w:pPr>
      <w:ind w:hanging="0" w:start="36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Template>
  <TotalTime>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2000-02-07T17:08:00Z</dcterms:created>
  <dc:creator>Rubena Buerger</dc:creator>
  <dc:description/>
  <dc:language>en-CA</dc:language>
  <cp:lastModifiedBy>Rubena Buerger</cp:lastModifiedBy>
  <cp:lastPrinted>2000-02-23T08:59:00Z</cp:lastPrinted>
  <dcterms:modified xsi:type="dcterms:W3CDTF">2000-02-23T12:29:00Z</dcterms:modified>
  <cp:revision>9</cp:revision>
  <dc:subject/>
  <dc:title>Better, Faster, Simpler Memo </dc:title>
</cp:coreProperties>
</file>