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Single"/>
        <w:spacing w:lineRule="atLeast" w:line="240" w:before="72" w:after="0"/>
        <w:ind w:hanging="1440" w:start="1440" w:end="0"/>
        <w:rPr/>
      </w:pPr>
      <w:r>
        <w:rPr>
          <w:rFonts w:cs="Bookman Old Style" w:ascii="Bookman Old Style" w:hAnsi="Bookman Old Style"/>
          <w:b/>
        </w:rPr>
        <w:t>TO:</w:t>
        <w:tab/>
      </w:r>
      <w:r>
        <w:rPr>
          <w:rFonts w:cs="Bookman Old Style" w:ascii="Bookman Old Style" w:hAnsi="Bookman Old Style"/>
        </w:rPr>
        <w:t xml:space="preserve">Stan Horton, Chairman, GISB Board of Directors </w:t>
      </w:r>
    </w:p>
    <w:p>
      <w:pPr>
        <w:pStyle w:val="Normal"/>
        <w:widowControl/>
        <w:rPr>
          <w:b/>
        </w:rPr>
      </w:pPr>
      <w:r>
        <w:rPr>
          <w:b/>
        </w:rPr>
        <w:t>CC:</w:t>
        <w:tab/>
        <w:tab/>
      </w:r>
      <w:r>
        <w:rPr>
          <w:bCs/>
        </w:rPr>
        <w:t>Mike McGrath, Edison Electric Institute</w:t>
      </w:r>
    </w:p>
    <w:p>
      <w:pPr>
        <w:pStyle w:val="Normal"/>
        <w:widowControl/>
        <w:rPr/>
      </w:pPr>
      <w:r>
        <w:rPr>
          <w:b/>
        </w:rPr>
        <w:t xml:space="preserve">FROM: </w:t>
        <w:tab/>
      </w:r>
      <w:r>
        <w:rPr/>
        <w:t>Rae McQuade, Executive Director</w:t>
      </w:r>
    </w:p>
    <w:p>
      <w:pPr>
        <w:pStyle w:val="Normal"/>
        <w:widowControl/>
        <w:rPr/>
      </w:pPr>
      <w:r>
        <w:rPr>
          <w:b/>
        </w:rPr>
        <w:t>RE:</w:t>
        <w:tab/>
        <w:tab/>
      </w:r>
      <w:r>
        <w:rPr/>
        <w:t xml:space="preserve">Possible Structure for the New Standards Organization </w:t>
      </w:r>
    </w:p>
    <w:p>
      <w:pPr>
        <w:pStyle w:val="Normal"/>
        <w:widowControl/>
        <w:pBdr>
          <w:bottom w:val="single" w:sz="12" w:space="1" w:color="000000"/>
        </w:pBdr>
        <w:rPr/>
      </w:pPr>
      <w:r>
        <w:rPr>
          <w:b/>
        </w:rPr>
        <w:t>DATE:</w:t>
      </w:r>
      <w:r>
        <w:rPr/>
        <w:tab/>
        <w:tab/>
        <w:t>June 30, 2000</w:t>
      </w:r>
    </w:p>
    <w:p>
      <w:pPr>
        <w:pStyle w:val="Normal"/>
        <w:jc w:val="both"/>
        <w:rPr/>
      </w:pPr>
      <w:r>
        <w:rPr/>
      </w:r>
    </w:p>
    <w:p>
      <w:pPr>
        <w:pStyle w:val="Normal"/>
        <w:jc w:val="both"/>
        <w:rPr/>
      </w:pPr>
      <w:r>
        <w:rPr/>
        <w:t xml:space="preserve">Dear Stan – </w:t>
      </w:r>
    </w:p>
    <w:p>
      <w:pPr>
        <w:pStyle w:val="Normal"/>
        <w:jc w:val="both"/>
        <w:rPr/>
      </w:pPr>
      <w:r>
        <w:rPr/>
        <w:tab/>
        <w:t>There are several examples of practices that would benefit the wholesale electric market much in the same sense that our standards and practices have benefited the wholesale gas market.   Clearly, the members would decide where standards are needed, but I have listed a few examples below that were mentioned in conversations.  These examples bear a close resemblance to the targeted areas for standards in the wholesale natural gas markets:</w:t>
      </w:r>
    </w:p>
    <w:p>
      <w:pPr>
        <w:pStyle w:val="Normal"/>
        <w:numPr>
          <w:ilvl w:val="0"/>
          <w:numId w:val="2"/>
        </w:numPr>
        <w:tabs>
          <w:tab w:val="left" w:pos="720" w:leader="none"/>
        </w:tabs>
        <w:ind w:hanging="720" w:start="720" w:end="0"/>
        <w:jc w:val="both"/>
        <w:rPr/>
      </w:pPr>
      <w:r>
        <w:rPr/>
        <w:t>Overall</w:t>
      </w:r>
    </w:p>
    <w:p>
      <w:pPr>
        <w:pStyle w:val="Normal"/>
        <w:ind w:start="720" w:end="0"/>
        <w:jc w:val="both"/>
        <w:rPr/>
      </w:pPr>
      <w:r>
        <w:rPr/>
        <w:t>As greater levels of competition were introduced into the wholesale natural gas markets, it was found that the unique company systems to transact business electronically were unwieldy and added both costs and aggravation to users.  Standards were needed for electronic communication and for the underlying business practices – to improve communication between trading partners and lower costs of transactions.    Many companies have expressed similar expectations for the wholesale and retail electric markets.</w:t>
      </w:r>
    </w:p>
    <w:p>
      <w:pPr>
        <w:pStyle w:val="Normal"/>
        <w:numPr>
          <w:ilvl w:val="0"/>
          <w:numId w:val="2"/>
        </w:numPr>
        <w:tabs>
          <w:tab w:val="left" w:pos="720" w:leader="none"/>
        </w:tabs>
        <w:ind w:hanging="720" w:start="720" w:end="0"/>
        <w:jc w:val="both"/>
        <w:rPr/>
      </w:pPr>
      <w:r>
        <w:rPr/>
        <w:t>Internet Use</w:t>
      </w:r>
    </w:p>
    <w:p>
      <w:pPr>
        <w:pStyle w:val="Normal"/>
        <w:ind w:start="720" w:end="0"/>
        <w:jc w:val="both"/>
        <w:rPr/>
      </w:pPr>
      <w:r>
        <w:rPr/>
        <w:t>Using the Internet as a means to send electronic transactions saves companies money – but to do it effectively requires standards for security, performance and reliability.  Careful coordination with other industries is needed to ensure that as a company accesses various web sites, it is not adversely affected by inconsistent settings.   Standards and practices for the Internet will clearly benefit the wholesale electric market.</w:t>
      </w:r>
    </w:p>
    <w:p>
      <w:pPr>
        <w:pStyle w:val="Normal"/>
        <w:numPr>
          <w:ilvl w:val="0"/>
          <w:numId w:val="2"/>
        </w:numPr>
        <w:tabs>
          <w:tab w:val="left" w:pos="720" w:leader="none"/>
        </w:tabs>
        <w:ind w:hanging="720" w:start="720" w:end="0"/>
        <w:jc w:val="both"/>
        <w:rPr/>
      </w:pPr>
      <w:r>
        <w:rPr/>
        <w:t>Use of Electronic Data Interchange (EDI)</w:t>
      </w:r>
    </w:p>
    <w:p>
      <w:pPr>
        <w:pStyle w:val="Normal"/>
        <w:ind w:start="720" w:end="0"/>
        <w:jc w:val="both"/>
        <w:rPr/>
      </w:pPr>
      <w:r>
        <w:rPr/>
        <w:t xml:space="preserve">To use EDI for the business-to-business electronic transactions requires information standards for each transaction, and for large-scale transactions, reduces overall transaction cost.  This level of standardization has an added benefit of simplifying the information needed for each transaction.  The information standards for EDI can also be applied to other types of information standards, such as those for XML and for interactive web standards. </w:t>
      </w:r>
    </w:p>
    <w:p>
      <w:pPr>
        <w:pStyle w:val="Normal"/>
        <w:numPr>
          <w:ilvl w:val="0"/>
          <w:numId w:val="2"/>
        </w:numPr>
        <w:tabs>
          <w:tab w:val="left" w:pos="720" w:leader="none"/>
        </w:tabs>
        <w:ind w:hanging="720" w:start="720" w:end="0"/>
        <w:jc w:val="both"/>
        <w:rPr/>
      </w:pPr>
      <w:r>
        <w:rPr/>
        <w:t>Use of XML</w:t>
      </w:r>
    </w:p>
    <w:p>
      <w:pPr>
        <w:pStyle w:val="Normal"/>
        <w:ind w:start="720" w:end="0"/>
        <w:jc w:val="both"/>
        <w:rPr/>
      </w:pPr>
      <w:r>
        <w:rPr/>
        <w:t xml:space="preserve">XML standards are becoming more accessible in all industries.  An added benefit of XML standards for business-to-business electronic transactions is a simplified process where a translator is not required.  A translator package is required for XML. </w:t>
      </w:r>
    </w:p>
    <w:p>
      <w:pPr>
        <w:pStyle w:val="Normal"/>
        <w:numPr>
          <w:ilvl w:val="0"/>
          <w:numId w:val="2"/>
        </w:numPr>
        <w:tabs>
          <w:tab w:val="left" w:pos="720" w:leader="none"/>
        </w:tabs>
        <w:ind w:hanging="720" w:start="720" w:end="0"/>
        <w:jc w:val="both"/>
        <w:rPr/>
      </w:pPr>
      <w:r>
        <w:rPr/>
        <w:t>Setting of a national standard electric day</w:t>
      </w:r>
    </w:p>
    <w:p>
      <w:pPr>
        <w:pStyle w:val="Normal"/>
        <w:ind w:start="720" w:end="0"/>
        <w:jc w:val="both"/>
        <w:rPr/>
      </w:pPr>
      <w:r>
        <w:rPr/>
        <w:t>In setting a national standard for gas day, several problems that had plagued the gas industry were minimized – imbalances at interconnects due to inconsistent gas days was resolved, and it became easier to move gas and account for it across several pipelines.  Several companies have mentioned that similar benefits could be achieved in the electric wholesale market.  When the natural gas industry standardized gas day, the number of days available for futures trading decreased from five to three – evidence that more information was available to the market and that the market was operating more efficiently.</w:t>
      </w:r>
    </w:p>
    <w:p>
      <w:pPr>
        <w:pStyle w:val="Normal"/>
        <w:numPr>
          <w:ilvl w:val="0"/>
          <w:numId w:val="2"/>
        </w:numPr>
        <w:tabs>
          <w:tab w:val="left" w:pos="720" w:leader="none"/>
        </w:tabs>
        <w:ind w:hanging="720" w:start="720" w:end="0"/>
        <w:jc w:val="both"/>
        <w:rPr/>
      </w:pPr>
      <w:r>
        <w:rPr/>
        <w:t>Scheduling</w:t>
      </w:r>
    </w:p>
    <w:p>
      <w:pPr>
        <w:pStyle w:val="Normal"/>
        <w:ind w:start="720" w:end="0"/>
        <w:jc w:val="both"/>
        <w:rPr/>
      </w:pPr>
      <w:r>
        <w:rPr/>
        <w:t>Scheduling standards would simplify the process by standardizing and simplifying the information needed for the scheduling process and providing means for electronically trading this information – through EDI, XML or standardized web transactions.  NERC through one of its subcommittees may be considering addressing scheduling standards.</w:t>
      </w:r>
    </w:p>
    <w:p>
      <w:pPr>
        <w:pStyle w:val="Normal"/>
        <w:numPr>
          <w:ilvl w:val="0"/>
          <w:numId w:val="2"/>
        </w:numPr>
        <w:tabs>
          <w:tab w:val="left" w:pos="720" w:leader="none"/>
        </w:tabs>
        <w:ind w:hanging="720" w:start="720" w:end="0"/>
        <w:jc w:val="both"/>
        <w:rPr/>
      </w:pPr>
      <w:r>
        <w:rPr/>
        <w:t>Invoicing</w:t>
      </w:r>
    </w:p>
    <w:p>
      <w:pPr>
        <w:pStyle w:val="Normal"/>
        <w:ind w:start="720" w:end="0"/>
        <w:jc w:val="both"/>
        <w:rPr/>
      </w:pPr>
      <w:r>
        <w:rPr/>
        <w:t>Invoicing standards would simplify the process by standardizing and simplifying the information needed for invoicing and payments, and providing means for electronically trading this information – through EDI, XML or standardized web transactions.</w:t>
      </w:r>
    </w:p>
    <w:p>
      <w:pPr>
        <w:pStyle w:val="Normal"/>
        <w:numPr>
          <w:ilvl w:val="0"/>
          <w:numId w:val="2"/>
        </w:numPr>
        <w:tabs>
          <w:tab w:val="left" w:pos="720" w:leader="none"/>
        </w:tabs>
        <w:ind w:hanging="720" w:start="720" w:end="0"/>
        <w:jc w:val="both"/>
        <w:rPr/>
      </w:pPr>
      <w:r>
        <w:rPr/>
        <w:t>Contracts</w:t>
      </w:r>
    </w:p>
    <w:p>
      <w:pPr>
        <w:pStyle w:val="Normal"/>
        <w:ind w:start="720" w:end="0"/>
        <w:jc w:val="both"/>
        <w:rPr/>
      </w:pPr>
      <w:r>
        <w:rPr/>
        <w:t xml:space="preserve">Standard or model contracts for short-term purchase and sales of power could save the industry considerable expense.  Several end users have noted their support for such a standard or model contract. </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Brush Script">
    <w:charset w:val="00" w:characterSet="windows-1252"/>
    <w:family w:val="script"/>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00" w:after="0"/>
      <w:jc w:val="end"/>
      <w:rPr/>
    </w:pPr>
    <w:r>
      <w:rPr/>
      <w:t>____________________________________________________________________________________________</w:t>
    </w:r>
  </w:p>
  <w:p>
    <w:pPr>
      <w:pStyle w:val="Footer"/>
      <w:widowControl/>
      <w:spacing w:before="0" w:after="0"/>
      <w:jc w:val="end"/>
      <w:rPr>
        <w:sz w:val="18"/>
      </w:rPr>
    </w:pPr>
    <w:r>
      <w:rPr>
        <w:sz w:val="18"/>
      </w:rPr>
      <w:t>June 30, 2000</w:t>
    </w:r>
  </w:p>
  <w:p>
    <w:pPr>
      <w:pStyle w:val="Footer"/>
      <w:widowControl/>
      <w:spacing w:before="0" w:after="0"/>
      <w:jc w:val="end"/>
      <w:rPr/>
    </w:pPr>
    <w:r>
      <w:rPr>
        <w:sz w:val="18"/>
      </w:rPr>
      <w:t xml:space="preserve">Page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z w:val="18"/>
      </w:rPr>
      <w:t xml:space="preserve"> of </w:t>
    </w:r>
    <w:r>
      <w:rPr>
        <w:sz w:val="18"/>
      </w:rPr>
      <w:fldChar w:fldCharType="begin"/>
    </w:r>
    <w:r>
      <w:rPr>
        <w:sz w:val="18"/>
      </w:rPr>
      <w:instrText xml:space="preserve"> NUMPAGES \* ARABIC </w:instrText>
    </w:r>
    <w:r>
      <w:rPr>
        <w:sz w:val="18"/>
      </w:rPr>
      <w:fldChar w:fldCharType="separate"/>
    </w:r>
    <w:r>
      <w:rPr>
        <w:sz w:val="18"/>
      </w:rPr>
      <w:t>2</w:t>
    </w:r>
    <w:r>
      <w:rP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100" w:after="0"/>
      <w:rPr/>
    </w:pPr>
    <w:r>
      <w:object w:dxaOrig="1109" w:dyaOrig="110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4.4pt;margin-top:0pt;width:55.45pt;height:55.45pt;mso-wrap-distance-left:9.05pt;mso-wrap-distance-right:9.05pt;mso-position-horizontal-relative:text;mso-position-vertical-relative:text" filled="f" o:ole="">
          <v:imagedata r:id="rId2" o:title=""/>
          <w10:wrap type="topAndBottom"/>
        </v:shape>
        <o:OLEObject Type="Embed" ProgID="" ShapeID="ole_rId1" DrawAspect="Content" ObjectID="_1806117974" r:id="rId1"/>
      </w:object>
    </w:r>
    <w:r>
      <w:rPr>
        <w:rFonts w:eastAsia="Bookman Old Style"/>
        <w:b/>
        <w:sz w:val="28"/>
      </w:rPr>
      <w:t xml:space="preserve">                </w:t>
    </w:r>
    <w:r>
      <w:rPr>
        <w:rFonts w:eastAsia="Symbol" w:cs="Symbol" w:ascii="Symbol" w:hAnsi="Symbol"/>
      </w:rPr>
      <w:sym w:font="Symbol" w:char="f0d2"/>
    </w:r>
    <w:r>
      <w:rPr>
        <w:b/>
        <w:sz w:val="28"/>
      </w:rPr>
      <w:tab/>
      <w:t xml:space="preserve">       </w:t>
      <w:tab/>
      <w:t>Gas Industry Standards Board</w:t>
    </w:r>
  </w:p>
  <w:p>
    <w:pPr>
      <w:pStyle w:val="Header"/>
      <w:widowControl/>
      <w:spacing w:before="0" w:after="0"/>
      <w:jc w:val="end"/>
      <w:rPr/>
    </w:pPr>
    <w:r>
      <w:rPr/>
      <w:t>1100 Louisiana, Suite 4925, Houston, Texas 77002</w:t>
    </w:r>
  </w:p>
  <w:p>
    <w:pPr>
      <w:pStyle w:val="Header"/>
      <w:widowControl/>
      <w:spacing w:before="0" w:after="0"/>
      <w:jc w:val="end"/>
      <w:rPr/>
    </w:pPr>
    <w:r>
      <w:rPr/>
      <w:t>Phone:  (713) 356-0060, Fax:  (713) 356-0067, E-mail: gisb@aol.com</w:t>
    </w:r>
  </w:p>
  <w:p>
    <w:pPr>
      <w:pStyle w:val="Header"/>
      <w:widowControl/>
      <w:pBdr>
        <w:bottom w:val="single" w:sz="12" w:space="1" w:color="000000"/>
      </w:pBdr>
      <w:spacing w:before="0" w:after="0"/>
      <w:jc w:val="end"/>
      <w:rPr/>
    </w:pPr>
    <w:r>
      <w:rPr/>
      <w:t>Home Page: www.gisb.org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3"/>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5">
    <w:lvl w:ilvl="0">
      <w:start w:val="1"/>
      <w:numFmt w:val="upperRoman"/>
      <w:lvlText w:val="%1."/>
      <w:lvlJc w:val="center"/>
      <w:pPr>
        <w:tabs>
          <w:tab w:val="num" w:pos="360"/>
        </w:tabs>
        <w:ind w:start="0" w:hanging="0"/>
      </w:pPr>
      <w:rPr>
        <w:caps/>
        <w:sz w:val="27"/>
        <w:i w:val="false"/>
        <w:b/>
        <w:rFonts w:ascii="CG Times" w:hAnsi="CG Times" w:cs="CG Times"/>
      </w:rPr>
    </w:lvl>
    <w:lvl w:ilvl="1">
      <w:start w:val="1"/>
      <w:numFmt w:val="upperLetter"/>
      <w:lvlText w:val="%2."/>
      <w:lvlJc w:val="start"/>
      <w:pPr>
        <w:tabs>
          <w:tab w:val="num" w:pos="1080"/>
        </w:tabs>
        <w:ind w:start="0" w:firstLine="720"/>
      </w:pPr>
      <w:rPr>
        <w:sz w:val="25"/>
        <w:i w:val="false"/>
        <w:b/>
        <w:rFonts w:ascii="CG Times" w:hAnsi="CG Times" w:cs="CG Times"/>
      </w:rPr>
    </w:lvl>
    <w:lvl w:ilvl="2">
      <w:start w:val="1"/>
      <w:numFmt w:val="decimal"/>
      <w:lvlText w:val="%3."/>
      <w:lvlJc w:val="start"/>
      <w:pPr>
        <w:tabs>
          <w:tab w:val="num" w:pos="1800"/>
        </w:tabs>
        <w:ind w:start="0" w:firstLine="1440"/>
      </w:pPr>
      <w:rPr>
        <w:sz w:val="25"/>
        <w:i w:val="false"/>
        <w:b/>
        <w:rFonts w:ascii="CG Times" w:hAnsi="CG Times" w:cs="CG Times"/>
      </w:rPr>
    </w:lvl>
    <w:lvl w:ilvl="3">
      <w:start w:val="1"/>
      <w:numFmt w:val="lowerLetter"/>
      <w:lvlText w:val="%4."/>
      <w:lvlJc w:val="start"/>
      <w:pPr>
        <w:tabs>
          <w:tab w:val="num" w:pos="2520"/>
        </w:tabs>
        <w:ind w:start="0" w:firstLine="2160"/>
      </w:pPr>
      <w:rPr>
        <w:sz w:val="25"/>
        <w:i w:val="false"/>
        <w:b/>
        <w:rFonts w:ascii="CG Times" w:hAnsi="CG Times" w:cs="CG Times"/>
      </w:rPr>
    </w:lvl>
    <w:lvl w:ilvl="4">
      <w:start w:val="1"/>
      <w:numFmt w:val="decimal"/>
      <w:lvlText w:val="(%5)"/>
      <w:lvlJc w:val="start"/>
      <w:pPr>
        <w:tabs>
          <w:tab w:val="num" w:pos="3240"/>
        </w:tabs>
        <w:ind w:start="0" w:firstLine="2880"/>
      </w:pPr>
      <w:rPr>
        <w:sz w:val="25"/>
        <w:i w:val="false"/>
        <w:b/>
        <w:rFonts w:ascii="CG Times" w:hAnsi="CG Times" w:cs="CG Times"/>
      </w:r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0"/>
      <w:numFmt w:val="lowerRoman"/>
      <w:lvlText w:val="(%9)"/>
      <w:lvlJc w:val="start"/>
      <w:pPr>
        <w:tabs>
          <w:tab w:val="num" w:pos="6120"/>
        </w:tabs>
        <w:ind w:start="576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0"/>
    </w:pPr>
    <w:rPr>
      <w:rFonts w:ascii="Bookman Old Style" w:hAnsi="Bookman Old Style" w:eastAsia="Times New Roman" w:cs="Bookman Old Style"/>
      <w:color w:val="auto"/>
      <w:sz w:val="20"/>
      <w:szCs w:val="20"/>
      <w:lang w:val="en-US" w:bidi="ar-SA" w:eastAsia="zh-CN"/>
    </w:rPr>
  </w:style>
  <w:style w:type="paragraph" w:styleId="Heading1">
    <w:name w:val="heading 1"/>
    <w:basedOn w:val="Normal"/>
    <w:next w:val="Normal"/>
    <w:qFormat/>
    <w:pPr>
      <w:keepNext w:val="true"/>
      <w:widowControl/>
      <w:numPr>
        <w:ilvl w:val="0"/>
        <w:numId w:val="1"/>
      </w:numPr>
      <w:outlineLvl w:val="0"/>
    </w:pPr>
    <w:rPr>
      <w:b/>
    </w:rPr>
  </w:style>
  <w:style w:type="paragraph" w:styleId="Heading2">
    <w:name w:val="heading 2"/>
    <w:basedOn w:val="Normal"/>
    <w:next w:val="Normal"/>
    <w:qFormat/>
    <w:pPr>
      <w:keepNext w:val="true"/>
      <w:widowControl/>
      <w:numPr>
        <w:ilvl w:val="1"/>
        <w:numId w:val="1"/>
      </w:numPr>
      <w:tabs>
        <w:tab w:val="left" w:pos="-720" w:leader="none"/>
        <w:tab w:val="left" w:pos="0" w:leader="none"/>
        <w:tab w:val="left" w:pos="720" w:leader="none"/>
      </w:tabs>
      <w:suppressAutoHyphens w:val="true"/>
      <w:spacing w:before="0" w:after="0"/>
      <w:ind w:hanging="1440" w:start="2880" w:end="0"/>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jc w:val="center"/>
      <w:outlineLvl w:val="2"/>
    </w:pPr>
    <w:rPr>
      <w:b/>
      <w:u w:val="single"/>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ind w:firstLine="720" w:start="0" w:end="0"/>
      <w:jc w:val="center"/>
      <w:outlineLvl w:val="4"/>
    </w:pPr>
    <w:rPr>
      <w:rFonts w:ascii="Brush Script" w:hAnsi="Brush Script" w:cs="Brush Script"/>
      <w:sz w:val="44"/>
    </w:rPr>
  </w:style>
  <w:style w:type="character" w:styleId="WW8Num1z0">
    <w:name w:val="WW8Num1z0"/>
    <w:qFormat/>
    <w:rPr>
      <w:rFonts w:ascii="CG Times" w:hAnsi="CG Times" w:cs="CG Times"/>
      <w:b/>
      <w:smallCaps/>
      <w:sz w:val="24"/>
    </w:rPr>
  </w:style>
  <w:style w:type="character" w:styleId="WW8Num1z1">
    <w:name w:val="WW8Num1z1"/>
    <w:qFormat/>
    <w:rPr>
      <w:rFonts w:ascii="CG Times" w:hAnsi="CG Times" w:cs="CG Times"/>
      <w:b/>
      <w:sz w:val="22"/>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color w:val="auto"/>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color w:val="auto"/>
    </w:rPr>
  </w:style>
  <w:style w:type="character" w:styleId="WW8Num41z0">
    <w:name w:val="WW8Num41z0"/>
    <w:qFormat/>
    <w:rPr>
      <w:rFonts w:ascii="Symbol" w:hAnsi="Symbol" w:cs="Symbol"/>
    </w:rPr>
  </w:style>
  <w:style w:type="character" w:styleId="WW8Num42z0">
    <w:name w:val="WW8Num42z0"/>
    <w:qFormat/>
    <w:rPr>
      <w:rFonts w:ascii="Symbol" w:hAnsi="Symbol" w:cs="Symbol"/>
      <w:color w:val="auto"/>
    </w:rPr>
  </w:style>
  <w:style w:type="character" w:styleId="WW8Num43z0">
    <w:name w:val="WW8Num43z0"/>
    <w:qFormat/>
    <w:rPr>
      <w:rFonts w:ascii="Symbol" w:hAnsi="Symbol" w:cs="Symbol"/>
      <w:color w:val="auto"/>
    </w:rPr>
  </w:style>
  <w:style w:type="character" w:styleId="WW8Num44z0">
    <w:name w:val="WW8Num44z0"/>
    <w:qFormat/>
    <w:rPr>
      <w:rFonts w:ascii="Symbol" w:hAnsi="Symbol" w:cs="Symbol"/>
      <w:color w:val="auto"/>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color w:val="auto"/>
    </w:rPr>
  </w:style>
  <w:style w:type="character" w:styleId="WW8Num49z0">
    <w:name w:val="WW8Num49z0"/>
    <w:qFormat/>
    <w:rPr>
      <w:rFonts w:ascii="Times New Roman" w:hAnsi="Times New Roman" w:cs="Times New Roman"/>
      <w:b/>
      <w:i w:val="false"/>
      <w:sz w:val="24"/>
      <w:u w:val="none"/>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color w:val="auto"/>
    </w:rPr>
  </w:style>
  <w:style w:type="character" w:styleId="WW8Num52z0">
    <w:name w:val="WW8Num52z0"/>
    <w:qFormat/>
    <w:rPr>
      <w:rFonts w:ascii="Symbol" w:hAnsi="Symbol" w:cs="Symbol"/>
    </w:rPr>
  </w:style>
  <w:style w:type="character" w:styleId="WW8Num53z0">
    <w:name w:val="WW8Num53z0"/>
    <w:qFormat/>
    <w:rPr>
      <w:rFonts w:ascii="Symbol" w:hAnsi="Symbol" w:cs="Symbol"/>
      <w:color w:val="auto"/>
    </w:rPr>
  </w:style>
  <w:style w:type="character" w:styleId="WW8Num54z0">
    <w:name w:val="WW8Num54z0"/>
    <w:qFormat/>
    <w:rPr>
      <w:rFonts w:ascii="Symbol" w:hAnsi="Symbol" w:cs="Symbol"/>
      <w:color w:val="auto"/>
    </w:rPr>
  </w:style>
  <w:style w:type="character" w:styleId="WW8Num55z0">
    <w:name w:val="WW8Num55z0"/>
    <w:qFormat/>
    <w:rPr>
      <w:rFonts w:ascii="Symbol" w:hAnsi="Symbol" w:cs="Symbol"/>
      <w:color w:val="auto"/>
    </w:rPr>
  </w:style>
  <w:style w:type="character" w:styleId="WW8Num56z0">
    <w:name w:val="WW8Num56z0"/>
    <w:qFormat/>
    <w:rPr>
      <w:rFonts w:ascii="Wingdings" w:hAnsi="Wingdings" w:cs="Wingdings"/>
    </w:rPr>
  </w:style>
  <w:style w:type="character" w:styleId="WW8NumSt46z0">
    <w:name w:val="WW8NumSt46z0"/>
    <w:qFormat/>
    <w:rPr>
      <w:rFonts w:ascii="CG Times" w:hAnsi="CG Times" w:cs="CG Times"/>
      <w:b/>
      <w:i w:val="false"/>
      <w:caps/>
      <w:sz w:val="27"/>
    </w:rPr>
  </w:style>
  <w:style w:type="character" w:styleId="WW8NumSt46z1">
    <w:name w:val="WW8NumSt46z1"/>
    <w:qFormat/>
    <w:rPr>
      <w:rFonts w:ascii="CG Times" w:hAnsi="CG Times" w:cs="CG Times"/>
      <w:b/>
      <w:i w:val="false"/>
      <w:sz w:val="25"/>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0" w:after="0"/>
      <w:jc w:val="center"/>
    </w:pPr>
    <w:rPr>
      <w:rFonts w:ascii="Arial" w:hAnsi="Arial" w:cs="Arial"/>
      <w:b/>
      <w:sz w:val="24"/>
    </w:rPr>
  </w:style>
  <w:style w:type="paragraph" w:styleId="BodyText">
    <w:name w:val="Body Text"/>
    <w:basedOn w:val="Normal"/>
    <w:pPr>
      <w:widowControl/>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rFonts w:ascii="Arial" w:hAnsi="Arial" w:cs="Arial"/>
    </w:rPr>
  </w:style>
  <w:style w:type="paragraph" w:styleId="BodyTextIndent2">
    <w:name w:val="Body Text Indent 2"/>
    <w:basedOn w:val="Normal"/>
    <w:qFormat/>
    <w:pPr>
      <w:ind w:hanging="0" w:start="1440" w:end="0"/>
      <w:jc w:val="both"/>
    </w:pPr>
    <w:rPr>
      <w:rFonts w:ascii="Arial" w:hAnsi="Arial" w:cs="Arial"/>
    </w:rPr>
  </w:style>
  <w:style w:type="paragraph" w:styleId="BodyTextIndent3">
    <w:name w:val="Body Text Indent 3"/>
    <w:basedOn w:val="Normal"/>
    <w:qFormat/>
    <w:pPr>
      <w:widowControl/>
      <w:ind w:hanging="1440" w:start="1440" w:end="0"/>
    </w:pPr>
    <w:rPr>
      <w:rFonts w:ascii="Arial" w:hAnsi="Arial" w:cs="Arial"/>
    </w:rPr>
  </w:style>
  <w:style w:type="paragraph" w:styleId="TableFormat">
    <w:name w:val="Table Forma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898" w:leader="none"/>
        <w:tab w:val="left" w:pos="8628" w:leader="none"/>
      </w:tabs>
      <w:bidi w:val="0"/>
      <w:spacing w:lineRule="atLeast" w:line="240" w:before="120" w:after="0"/>
    </w:pPr>
    <w:rPr>
      <w:rFonts w:ascii="Bookman Old Style" w:hAnsi="Bookman Old Style" w:eastAsia="Times New Roman" w:cs="Bookman Old Style"/>
      <w:color w:val="000000"/>
      <w:sz w:val="18"/>
      <w:szCs w:val="20"/>
      <w:lang w:val="en-US" w:bidi="ar-SA" w:eastAsia="zh-CN"/>
    </w:rPr>
  </w:style>
  <w:style w:type="paragraph" w:styleId="BodySingle">
    <w:name w:val="Body Single"/>
    <w:qFormat/>
    <w:pPr>
      <w:widowControl w:val="false"/>
      <w:bidi w:val="0"/>
      <w:spacing w:before="72" w:after="0"/>
      <w:jc w:val="both"/>
    </w:pPr>
    <w:rPr>
      <w:rFonts w:ascii="Helvetica" w:hAnsi="Helvetica" w:eastAsia="Times New Roman" w:cs="Helvetica"/>
      <w:color w:val="000000"/>
      <w:sz w:val="20"/>
      <w:szCs w:val="20"/>
      <w:lang w:val="en-US" w:bidi="ar-SA" w:eastAsia="zh-CN"/>
    </w:rPr>
  </w:style>
  <w:style w:type="paragraph" w:styleId="FootnoteText">
    <w:name w:val="footnote text"/>
    <w:basedOn w:val="Normal"/>
    <w:pPr/>
    <w:rPr/>
  </w:style>
  <w:style w:type="paragraph" w:styleId="TableText">
    <w:name w:val="Table Text"/>
    <w:qFormat/>
    <w:pPr>
      <w:widowControl/>
      <w:bidi w:val="0"/>
    </w:pPr>
    <w:rPr>
      <w:rFonts w:ascii="Arial Narrow" w:hAnsi="Arial Narrow" w:eastAsia="Times New Roman" w:cs="Arial Narrow"/>
      <w:color w:val="000000"/>
      <w:sz w:val="24"/>
      <w:szCs w:val="20"/>
      <w:lang w:val="en-US" w:bidi="ar-SA" w:eastAsia="zh-CN"/>
    </w:rPr>
  </w:style>
  <w:style w:type="paragraph" w:styleId="MWhang3">
    <w:name w:val="MWhang3"/>
    <w:basedOn w:val="Normal"/>
    <w:qFormat/>
    <w:pPr>
      <w:widowControl/>
      <w:suppressAutoHyphens w:val="true"/>
      <w:spacing w:before="0" w:after="240"/>
      <w:ind w:hanging="720" w:start="2160" w:end="0"/>
    </w:pPr>
    <w:rPr>
      <w:rFonts w:ascii="Times New Roman" w:hAnsi="Times New Roman" w:cs="Times New Roman"/>
      <w:sz w:val="24"/>
    </w:rPr>
  </w:style>
  <w:style w:type="paragraph" w:styleId="MWNum13j">
    <w:name w:val="MWNum13j"/>
    <w:basedOn w:val="Normal"/>
    <w:qFormat/>
    <w:pPr>
      <w:widowControl/>
      <w:numPr>
        <w:ilvl w:val="0"/>
        <w:numId w:val="4"/>
      </w:numPr>
      <w:tabs>
        <w:tab w:val="clear" w:pos="720"/>
      </w:tabs>
      <w:spacing w:before="0" w:after="240"/>
      <w:jc w:val="both"/>
    </w:pPr>
    <w:rPr>
      <w:rFonts w:ascii="Times New Roman" w:hAnsi="Times New Roman" w:cs="Times New Roman"/>
      <w:sz w:val="24"/>
    </w:rPr>
  </w:style>
  <w:style w:type="paragraph" w:styleId="PlainText">
    <w:name w:val="Plain Text"/>
    <w:basedOn w:val="Normal"/>
    <w:qFormat/>
    <w:pPr>
      <w:widowControl/>
      <w:spacing w:before="0" w:after="0"/>
    </w:pPr>
    <w:rPr>
      <w:rFonts w:ascii="Courier New" w:hAnsi="Courier New" w:cs="Courier New"/>
    </w:rPr>
  </w:style>
  <w:style w:type="paragraph" w:styleId="Level2">
    <w:name w:val="Level 2"/>
    <w:basedOn w:val="Normal"/>
    <w:qFormat/>
    <w:pPr>
      <w:widowControl/>
      <w:numPr>
        <w:ilvl w:val="0"/>
        <w:numId w:val="3"/>
      </w:numPr>
      <w:tabs>
        <w:tab w:val="clear" w:pos="720"/>
        <w:tab w:val="left" w:pos="360" w:leader="none"/>
      </w:tabs>
      <w:spacing w:before="0" w:after="0"/>
      <w:ind w:hanging="0" w:start="0" w:end="0"/>
      <w:outlineLvl w:val="1"/>
    </w:pPr>
    <w:rPr>
      <w:rFonts w:ascii="Times New Roman" w:hAnsi="Times New Roman" w:cs="Times New Roman"/>
      <w:sz w:val="24"/>
    </w:rPr>
  </w:style>
  <w:style w:type="paragraph" w:styleId="Level3">
    <w:name w:val="Level 3"/>
    <w:basedOn w:val="Normal"/>
    <w:qFormat/>
    <w:pPr>
      <w:widowControl/>
      <w:numPr>
        <w:ilvl w:val="0"/>
        <w:numId w:val="3"/>
      </w:numPr>
      <w:tabs>
        <w:tab w:val="clear" w:pos="720"/>
        <w:tab w:val="left" w:pos="360" w:leader="none"/>
      </w:tabs>
      <w:spacing w:before="0" w:after="0"/>
      <w:ind w:hanging="0" w:start="0" w:end="0"/>
      <w:outlineLvl w:val="2"/>
    </w:pPr>
    <w:rPr>
      <w:rFonts w:ascii="Times New Roman" w:hAnsi="Times New Roman" w:cs="Times New Roman"/>
      <w:sz w:val="24"/>
    </w:rPr>
  </w:style>
  <w:style w:type="paragraph" w:styleId="MWbl">
    <w:name w:val="MWbl"/>
    <w:basedOn w:val="Normal"/>
    <w:qFormat/>
    <w:pPr>
      <w:widowControl/>
      <w:suppressAutoHyphens w:val="true"/>
      <w:spacing w:before="0" w:after="240"/>
    </w:pPr>
    <w:rPr>
      <w:rFonts w:ascii="Times New Roman" w:hAnsi="Times New Roman" w:cs="Times New Roman"/>
      <w:sz w:val="24"/>
    </w:rPr>
  </w:style>
  <w:style w:type="paragraph" w:styleId="MWhang2">
    <w:name w:val="MWhang2"/>
    <w:basedOn w:val="Normal"/>
    <w:qFormat/>
    <w:pPr>
      <w:widowControl/>
      <w:suppressAutoHyphens w:val="true"/>
      <w:spacing w:before="0" w:after="240"/>
      <w:ind w:hanging="720" w:start="1440" w:end="0"/>
    </w:pPr>
    <w:rPr>
      <w:rFonts w:ascii="Times New Roman" w:hAnsi="Times New Roman" w:cs="Times New Roman"/>
      <w:sz w:val="24"/>
    </w:rPr>
  </w:style>
  <w:style w:type="paragraph" w:styleId="MWlri1d">
    <w:name w:val="MWlri1d"/>
    <w:basedOn w:val="Normal"/>
    <w:qFormat/>
    <w:pPr>
      <w:widowControl/>
      <w:suppressAutoHyphens w:val="true"/>
      <w:spacing w:lineRule="auto" w:line="480" w:before="0" w:after="0"/>
      <w:ind w:hanging="0" w:start="1440" w:end="1440"/>
    </w:pPr>
    <w:rPr>
      <w:rFonts w:ascii="Times New Roman" w:hAnsi="Times New Roman" w:cs="Times New Roman"/>
      <w:sz w:val="24"/>
    </w:rPr>
  </w:style>
  <w:style w:type="paragraph" w:styleId="MWtypist">
    <w:name w:val="MWtypist"/>
    <w:basedOn w:val="Normal"/>
    <w:qFormat/>
    <w:pPr>
      <w:widowControl/>
      <w:spacing w:before="0" w:after="0"/>
    </w:pPr>
    <w:rPr>
      <w:rFonts w:ascii="Times New Roman" w:hAnsi="Times New Roman" w:cs="Times New Roman"/>
      <w:sz w:val="24"/>
    </w:rPr>
  </w:style>
  <w:style w:type="paragraph" w:styleId="Title2">
    <w:name w:val="Title2"/>
    <w:basedOn w:val="Normal"/>
    <w:qFormat/>
    <w:pPr>
      <w:spacing w:before="0" w:after="0"/>
      <w:ind w:hanging="0" w:start="0" w:end="-25"/>
    </w:pPr>
    <w:rPr>
      <w:rFonts w:ascii="Times New Roman" w:hAnsi="Times New Roman" w:cs="Times New Roman"/>
      <w:b/>
    </w:rPr>
  </w:style>
  <w:style w:type="paragraph" w:styleId="Level4">
    <w:name w:val="Level 4"/>
    <w:basedOn w:val="Normal"/>
    <w:qFormat/>
    <w:pPr>
      <w:tabs>
        <w:tab w:val="clear" w:pos="720"/>
        <w:tab w:val="left" w:pos="2520" w:leader="none"/>
      </w:tabs>
      <w:spacing w:before="0" w:after="0"/>
      <w:ind w:firstLine="2160" w:start="0" w:end="0"/>
      <w:outlineLvl w:val="3"/>
    </w:pPr>
    <w:rPr>
      <w:rFonts w:ascii="CG Times" w:hAnsi="CG Times" w:cs="CG Times"/>
      <w:sz w:val="24"/>
    </w:rPr>
  </w:style>
  <w:style w:type="paragraph" w:styleId="Level1">
    <w:name w:val="Level 1"/>
    <w:basedOn w:val="Normal"/>
    <w:qFormat/>
    <w:pPr>
      <w:numPr>
        <w:ilvl w:val="0"/>
        <w:numId w:val="5"/>
      </w:numPr>
      <w:tabs>
        <w:tab w:val="clear" w:pos="720"/>
      </w:tabs>
      <w:spacing w:before="0" w:after="0"/>
      <w:ind w:hanging="720" w:start="720" w:end="0"/>
      <w:outlineLvl w:val="0"/>
    </w:pPr>
    <w:rPr>
      <w:rFonts w:ascii="CG Times" w:hAnsi="CG Times" w:cs="CG Times"/>
      <w:sz w:val="24"/>
    </w:rPr>
  </w:style>
  <w:style w:type="paragraph" w:styleId="Level5">
    <w:name w:val="Level 5"/>
    <w:basedOn w:val="Normal"/>
    <w:qFormat/>
    <w:pPr>
      <w:spacing w:before="0" w:after="0"/>
      <w:outlineLvl w:val="4"/>
    </w:pPr>
    <w:rPr>
      <w:rFonts w:ascii="CG Times" w:hAnsi="CG Times" w:cs="CG Times"/>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2000-07-03T00:20:00Z</dcterms:created>
  <dc:creator>Koch Ind</dc:creator>
  <dc:description/>
  <dc:language>en-CA</dc:language>
  <cp:lastModifiedBy>Rae Mcquade</cp:lastModifiedBy>
  <cp:lastPrinted>2000-04-26T06:45:00Z</cp:lastPrinted>
  <dcterms:modified xsi:type="dcterms:W3CDTF">2000-07-03T00:20:00Z</dcterms:modified>
  <cp:revision>2</cp:revision>
  <dc:subject/>
  <dc:title>Business Practices Subcommittee</dc:title>
</cp:coreProperties>
</file>