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700" w:end="0"/>
        <w:rPr>
          <w:u w:val="single"/>
        </w:rPr>
      </w:pPr>
      <w:r>
        <w:rPr>
          <w:u w:val="single"/>
        </w:rPr>
        <w:t>PUHCA Amendment Sponsored by Sen. Kerrey</w:t>
      </w:r>
    </w:p>
    <w:p>
      <w:pPr>
        <w:pStyle w:val="Normal"/>
        <w:rPr>
          <w:u w:val="single"/>
        </w:rPr>
      </w:pPr>
      <w:r>
        <w:rPr>
          <w:u w:val="single"/>
        </w:rPr>
      </w:r>
    </w:p>
    <w:p>
      <w:pPr>
        <w:pStyle w:val="Normal"/>
        <w:ind w:firstLine="720" w:end="0"/>
        <w:rPr/>
      </w:pPr>
      <w:r>
        <w:rPr/>
        <w:t>You have requested SEC staff technical assistance in analyzing a proposed amendment that would exempt public-utility holding companies from the Act if certain of their securities and those of their utility subsidiaries had investment grade ratings.  The attached discussion highlights some of the principal issues raised by the amendment.  It has been prepared by the SEC staff, but does not represent a formal expression of SEC views.  A summary is provided below.</w:t>
      </w:r>
    </w:p>
    <w:p>
      <w:pPr>
        <w:pStyle w:val="Normal"/>
        <w:rPr/>
      </w:pPr>
      <w:r>
        <w:rPr/>
      </w:r>
    </w:p>
    <w:p>
      <w:pPr>
        <w:pStyle w:val="Normal"/>
        <w:rPr>
          <w:u w:val="single"/>
        </w:rPr>
      </w:pPr>
      <w:r>
        <w:rPr>
          <w:u w:val="single"/>
        </w:rPr>
        <w:t>PUHCA Background</w:t>
      </w:r>
    </w:p>
    <w:p>
      <w:pPr>
        <w:pStyle w:val="Normal"/>
        <w:rPr>
          <w:u w:val="single"/>
        </w:rPr>
      </w:pPr>
      <w:r>
        <w:rPr>
          <w:u w:val="single"/>
        </w:rPr>
      </w:r>
    </w:p>
    <w:p>
      <w:pPr>
        <w:pStyle w:val="Normal"/>
        <w:rPr/>
      </w:pPr>
      <w:r>
        <w:rPr/>
        <w:t>The Act requires holding companies with multistate utility operations – currently 20 companies -- to register with the SEC and comply with a comprehensive regulatory framework.  To prevent the recurrence of widespread abuses that led to enactment, the Act generally limits utility operations of registered companies to a single integrated system and their nonutility businesses to those that are functionally related to the utility business. Utility and nonutility acquisitions and intrasytem loans and other affiliate transactions are regulated.  The Act makes exemptions from registration available where effective state regulation is likely or the company is not the type of holding company at which the Act is directed.  Prior SEC approval for utility acquisitions by exempt holding companies is required.</w:t>
      </w:r>
    </w:p>
    <w:p>
      <w:pPr>
        <w:pStyle w:val="Normal"/>
        <w:rPr/>
      </w:pPr>
      <w:r>
        <w:rPr/>
      </w:r>
    </w:p>
    <w:p>
      <w:pPr>
        <w:pStyle w:val="Normal"/>
        <w:rPr>
          <w:u w:val="single"/>
        </w:rPr>
      </w:pPr>
      <w:r>
        <w:rPr>
          <w:u w:val="single"/>
        </w:rPr>
        <w:t>SEC Position on PUHCA</w:t>
      </w:r>
    </w:p>
    <w:p>
      <w:pPr>
        <w:pStyle w:val="Normal"/>
        <w:ind w:start="360" w:end="0"/>
        <w:rPr>
          <w:u w:val="single"/>
        </w:rPr>
      </w:pPr>
      <w:r>
        <w:rPr>
          <w:u w:val="single"/>
        </w:rPr>
      </w:r>
    </w:p>
    <w:p>
      <w:pPr>
        <w:pStyle w:val="Normal"/>
        <w:rPr/>
      </w:pPr>
      <w:r>
        <w:rPr/>
        <w:t>In 1995, the SEC staff recommended repeal, conditioned upon enactment of legislation that would ensure access to books and records for the effective discharge of the states’ regulatory responsibilities and federal audit authority and oversight of affiliate transactions.  The SEC contemplated that the Federal Energy Regulatory Commission (“FERC”), as the federal agency with direct responsibility to protect energy consumers, would have responsibility to enforce such provisions.  The Commission has testified before Congress in support of these recommendations, most recently on May 6, 1999.</w:t>
      </w:r>
    </w:p>
    <w:p>
      <w:pPr>
        <w:pStyle w:val="Normal"/>
        <w:rPr/>
      </w:pPr>
      <w:r>
        <w:rPr/>
        <w:t xml:space="preserve">  </w:t>
      </w:r>
    </w:p>
    <w:p>
      <w:pPr>
        <w:pStyle w:val="Normal"/>
        <w:rPr>
          <w:u w:val="single"/>
        </w:rPr>
      </w:pPr>
      <w:r>
        <w:rPr>
          <w:u w:val="single"/>
        </w:rPr>
        <w:t>Proposed Exemption</w:t>
      </w:r>
    </w:p>
    <w:p>
      <w:pPr>
        <w:pStyle w:val="Normal"/>
        <w:rPr>
          <w:u w:val="single"/>
        </w:rPr>
      </w:pPr>
      <w:r>
        <w:rPr>
          <w:u w:val="single"/>
        </w:rPr>
      </w:r>
    </w:p>
    <w:p>
      <w:pPr>
        <w:pStyle w:val="Normal"/>
        <w:rPr/>
      </w:pPr>
      <w:r>
        <w:rPr/>
        <w:t>It appears that 10 of the 20 registered holding companies would qualify for the proposed exemption and up to one half of exempt holding companies.  The FERC would not play any new role in the protection of consumers.</w:t>
      </w:r>
    </w:p>
    <w:p>
      <w:pPr>
        <w:pStyle w:val="Normal"/>
        <w:rPr/>
      </w:pPr>
      <w:r>
        <w:rPr/>
      </w:r>
    </w:p>
    <w:p>
      <w:pPr>
        <w:pStyle w:val="Normal"/>
        <w:rPr/>
      </w:pPr>
      <w:r>
        <w:rPr/>
        <w:t>The proposed exemption does not bear any necessary relation to the purpose of the Act to promote effective state regulation.  It also appears that the exemption could lead to complex corporate and capital structures and other transactions and practices detrimental to the interests of investors and consumers.  It would also raise serious administrative difficulties.  It would effectively repeal the Act for qualifying holding companies, but only provisionally.  If a holding company ceased to qualify for exemption, its noncompliance with the Act would raise difficult issues.  In addition, by creating two classes of holding companies, the proposed exemption would create an unlevel playing field.</w:t>
      </w:r>
    </w:p>
    <w:sectPr>
      <w:headerReference w:type="default" r:id="rId2"/>
      <w:headerReference w:type="first" r:id="rId3"/>
      <w:type w:val="nextPage"/>
      <w:pgSz w:w="12240" w:h="15840"/>
      <w:pgMar w:left="1800" w:right="180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2000-09-15T19:38:00Z</dcterms:created>
  <dc:creator>us</dc:creator>
  <dc:description/>
  <dc:language>en-CA</dc:language>
  <cp:lastModifiedBy>us</cp:lastModifiedBy>
  <cp:lastPrinted>2000-09-19T16:46:00Z</cp:lastPrinted>
  <dcterms:modified xsi:type="dcterms:W3CDTF">2000-09-19T18:16:00Z</dcterms:modified>
  <cp:revision>3</cp:revision>
  <dc:subject/>
  <dc:title>PUHCA Background</dc:title>
</cp:coreProperties>
</file>