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Center"/>
        <w:spacing w:before="0" w:after="0"/>
        <w:rPr>
          <w:rFonts w:ascii="Arial" w:hAnsi="Arial" w:cs="Arial"/>
        </w:rPr>
      </w:pPr>
      <w:r>
        <w:rPr>
          <w:rFonts w:eastAsia="Arial" w:cs="Arial" w:ascii="Arial" w:hAnsi="Arial"/>
        </w:rPr>
        <mc:AlternateContent>
          <mc:Choice Requires="wps">
            <w:drawing>
              <wp:anchor behindDoc="0" distT="0" distB="0" distL="114935" distR="114935" simplePos="0" locked="0" layoutInCell="1" allowOverlap="1" relativeHeight="15">
                <wp:simplePos x="0" y="0"/>
                <wp:positionH relativeFrom="column">
                  <wp:posOffset>-822960</wp:posOffset>
                </wp:positionH>
                <wp:positionV relativeFrom="paragraph">
                  <wp:posOffset>635</wp:posOffset>
                </wp:positionV>
                <wp:extent cx="91440" cy="91440"/>
                <wp:effectExtent l="5080" t="5080" r="5080" b="5080"/>
                <wp:wrapNone/>
                <wp:docPr id="1" name=""/>
                <a:graphic xmlns:a="http://schemas.openxmlformats.org/drawingml/2006/main">
                  <a:graphicData uri="http://schemas.microsoft.com/office/word/2010/wordprocessingShape">
                    <wps:wsp>
                      <wps:cNvSpPr/>
                      <wps:spPr>
                        <a:xfrm>
                          <a:off x="0" y="0"/>
                          <a:ext cx="91440" cy="91440"/>
                        </a:xfrm>
                        <a:prstGeom prst="rect">
                          <a:avLst/>
                        </a:prstGeom>
                        <a:solidFill>
                          <a:srgbClr val="ffffff"/>
                        </a:solidFill>
                        <a:ln w="9360">
                          <a:solidFill>
                            <a:srgbClr val="ffffff"/>
                          </a:solidFill>
                          <a:miter/>
                        </a:ln>
                      </wps:spPr>
                      <wps:style>
                        <a:lnRef idx="0"/>
                        <a:fillRef idx="0"/>
                        <a:effectRef idx="0"/>
                        <a:fontRef idx="minor"/>
                      </wps:style>
                      <wps:bodyPr/>
                    </wps:wsp>
                  </a:graphicData>
                </a:graphic>
              </wp:anchor>
            </w:drawing>
          </mc:Choice>
          <mc:Fallback>
            <w:pict>
              <v:rect id="shape_0" fillcolor="white" stroked="t" o:allowincell="f" style="position:absolute;margin-left:-64.8pt;margin-top:0pt;width:7.15pt;height:7.15pt;mso-wrap-style:none;v-text-anchor:middle">
                <v:fill o:detectmouseclick="t" type="solid" color2="black"/>
                <v:stroke color="white" weight="9360" joinstyle="miter" endcap="flat"/>
                <w10:wrap type="none"/>
              </v:rect>
            </w:pict>
          </mc:Fallback>
        </mc:AlternateContent>
        <w:t xml:space="preserve">      </w:t>
      </w:r>
      <w:r>
        <w:rPr>
          <w:rFonts w:cs="Arial" w:ascii="Arial" w:hAnsi="Arial"/>
        </w:rPr>
        <w:t>UNITED STATES OF AMERICA</w:t>
      </w:r>
      <w:r>
        <mc:AlternateContent>
          <mc:Choice Requires="wps">
            <w:drawing>
              <wp:anchor behindDoc="0" distT="0" distB="0" distL="114935" distR="114935" simplePos="0" locked="0" layoutInCell="1" allowOverlap="1" relativeHeight="17">
                <wp:simplePos x="0" y="0"/>
                <wp:positionH relativeFrom="column">
                  <wp:posOffset>5212080</wp:posOffset>
                </wp:positionH>
                <wp:positionV relativeFrom="paragraph">
                  <wp:posOffset>91440</wp:posOffset>
                </wp:positionV>
                <wp:extent cx="1463040" cy="914400"/>
                <wp:effectExtent l="0" t="0" r="0" b="0"/>
                <wp:wrapNone/>
                <wp:docPr id="2" name="Frame1"/>
                <a:graphic xmlns:a="http://schemas.openxmlformats.org/drawingml/2006/main">
                  <a:graphicData uri="http://schemas.microsoft.com/office/word/2010/wordprocessingShape">
                    <wps:wsp>
                      <wps:cNvSpPr txBox="1"/>
                      <wps:spPr>
                        <a:xfrm>
                          <a:off x="0" y="0"/>
                          <a:ext cx="1463040" cy="914400"/>
                        </a:xfrm>
                        <a:prstGeom prst="rect"/>
                        <a:solidFill>
                          <a:srgbClr val="FFFFFF"/>
                        </a:solidFill>
                      </wps:spPr>
                      <wps:txbx>
                        <w:txbxContent>
                          <w:p>
                            <w:pPr>
                              <w:pStyle w:val="Normal"/>
                              <w:rPr/>
                            </w:pPr>
                            <w:r>
                              <w:rPr/>
                            </w:r>
                          </w:p>
                        </w:txbxContent>
                      </wps:txbx>
                      <wps:bodyPr anchor="t" lIns="92075" tIns="46355" rIns="92075" bIns="46355">
                        <a:noAutofit/>
                      </wps:bodyPr>
                    </wps:wsp>
                  </a:graphicData>
                </a:graphic>
              </wp:anchor>
            </w:drawing>
          </mc:Choice>
          <mc:Fallback>
            <w:pict>
              <v:rect fillcolor="#FFFFFF" style="position:absolute;rotation:-0;width:115.2pt;height:72pt;mso-wrap-distance-left:9.05pt;mso-wrap-distance-right:9.05pt;mso-wrap-distance-top:0pt;mso-wrap-distance-bottom:0pt;margin-top:7.2pt;mso-position-vertical-relative:text;margin-left:410.4pt;mso-position-horizontal-relative:text">
                <v:textbox inset="0.100694444444444in,0.0506944444444444in,0.100694444444444in,0.0506944444444444in">
                  <w:txbxContent>
                    <w:p>
                      <w:pPr>
                        <w:pStyle w:val="Normal"/>
                        <w:rPr/>
                      </w:pPr>
                      <w:r>
                        <w:rPr/>
                      </w:r>
                    </w:p>
                  </w:txbxContent>
                </v:textbox>
                <w10:wrap type="none"/>
              </v:rect>
            </w:pict>
          </mc:Fallback>
        </mc:AlternateContent>
      </w:r>
    </w:p>
    <w:p>
      <w:pPr>
        <w:pStyle w:val="Center"/>
        <w:spacing w:lineRule="auto" w:line="240" w:before="0" w:after="0"/>
        <w:rPr>
          <w:rFonts w:ascii="Arial" w:hAnsi="Arial" w:cs="Arial"/>
        </w:rPr>
      </w:pPr>
      <w:r>
        <w:rPr>
          <w:rFonts w:cs="Arial" w:ascii="Arial" w:hAnsi="Arial"/>
        </w:rPr>
        <w:t>FEDERAL ENERGY REGULATORY COMMISSION</w:t>
      </w:r>
    </w:p>
    <w:p>
      <w:pPr>
        <w:pStyle w:val="Normal"/>
        <w:jc w:val="center"/>
        <w:rPr>
          <w:rFonts w:ascii="Arial" w:hAnsi="Arial" w:cs="Arial"/>
        </w:rPr>
      </w:pPr>
      <w:r>
        <w:rPr>
          <w:rFonts w:cs="Arial"/>
        </w:rPr>
      </w:r>
    </w:p>
    <w:p>
      <w:pPr>
        <w:pStyle w:val="Center"/>
        <w:spacing w:lineRule="auto" w:line="240" w:before="0" w:after="0"/>
        <w:rPr>
          <w:rFonts w:ascii="Arial" w:hAnsi="Arial" w:cs="Arial"/>
        </w:rPr>
      </w:pPr>
      <w:r>
        <w:rPr>
          <w:rFonts w:cs="Arial" w:ascii="Arial" w:hAnsi="Arial"/>
        </w:rPr>
      </w:r>
    </w:p>
    <w:p>
      <w:pPr>
        <w:pStyle w:val="Normal"/>
        <w:rPr/>
      </w:pPr>
      <w:r>
        <w:rPr/>
        <w:t xml:space="preserve">______________________________________                                                         </w:t>
      </w:r>
    </w:p>
    <w:p>
      <w:pPr>
        <w:pStyle w:val="Normal"/>
        <w:rPr/>
      </w:pPr>
      <w:r>
        <w:rPr/>
        <w:tab/>
        <w:tab/>
        <w:tab/>
        <w:tab/>
        <w:tab/>
        <w:tab/>
        <w:tab/>
        <w:t>)</w:t>
      </w:r>
    </w:p>
    <w:p>
      <w:pPr>
        <w:pStyle w:val="Normal"/>
        <w:rPr/>
      </w:pPr>
      <w:r>
        <w:rPr/>
        <w:t>Notice of Interim Procedures to Support</w:t>
        <w:tab/>
        <w:tab/>
        <w:t>)</w:t>
      </w:r>
    </w:p>
    <w:p>
      <w:pPr>
        <w:pStyle w:val="Normal"/>
        <w:rPr/>
      </w:pPr>
      <w:r>
        <w:rPr/>
        <w:t>Industry Reliability Efforts and Request</w:t>
        <w:tab/>
        <w:tab/>
        <w:t xml:space="preserve">) </w:t>
        <w:tab/>
        <w:t>Docket No. EL00-75-000</w:t>
      </w:r>
    </w:p>
    <w:p>
      <w:pPr>
        <w:pStyle w:val="Normal"/>
        <w:rPr/>
      </w:pPr>
      <w:r>
        <w:rPr/>
        <w:t>For Comments</w:t>
        <w:tab/>
        <w:tab/>
        <w:tab/>
        <w:tab/>
        <w:tab/>
        <w:t xml:space="preserve">) </w:t>
        <w:tab/>
        <w:tab/>
        <w:tab/>
        <w:tab/>
        <w:tab/>
      </w:r>
    </w:p>
    <w:p>
      <w:pPr>
        <w:pStyle w:val="Normal"/>
        <w:rPr/>
      </w:pPr>
      <w:r>
        <w:rPr/>
        <w:t>_____________________________________</w:t>
        <w:tab/>
        <w:t>)</w:t>
      </w:r>
    </w:p>
    <w:p>
      <w:pPr>
        <w:pStyle w:val="Header"/>
        <w:tabs>
          <w:tab w:val="clear" w:pos="4320"/>
          <w:tab w:val="clear" w:pos="8640"/>
        </w:tabs>
        <w:rPr>
          <w:rFonts w:ascii="Arial" w:hAnsi="Arial" w:cs="Arial"/>
        </w:rPr>
      </w:pPr>
      <w:r>
        <w:rPr>
          <w:rFonts w:cs="Arial" w:ascii="Arial" w:hAnsi="Arial"/>
        </w:rPr>
      </w:r>
    </w:p>
    <w:p>
      <w:pPr>
        <w:pStyle w:val="Normal"/>
        <w:rPr>
          <w:rFonts w:ascii="Arial" w:hAnsi="Arial" w:cs="Arial"/>
        </w:rPr>
      </w:pPr>
      <w:r>
        <w:rPr>
          <w:rFonts w:cs="Arial"/>
        </w:rPr>
      </w:r>
    </w:p>
    <w:p>
      <w:pPr>
        <w:pStyle w:val="Normal"/>
        <w:rPr/>
      </w:pPr>
      <w:r>
        <w:rPr/>
      </w:r>
    </w:p>
    <w:p>
      <w:pPr>
        <w:pStyle w:val="Normal"/>
        <w:jc w:val="center"/>
        <w:rPr>
          <w:b/>
        </w:rPr>
      </w:pPr>
      <w:r>
        <mc:AlternateContent>
          <mc:Choice Requires="wps">
            <w:drawing>
              <wp:anchor behindDoc="0" distT="0" distB="0" distL="114935" distR="114935" simplePos="0" locked="0" layoutInCell="1" allowOverlap="1" relativeHeight="16">
                <wp:simplePos x="0" y="0"/>
                <wp:positionH relativeFrom="column">
                  <wp:posOffset>-822960</wp:posOffset>
                </wp:positionH>
                <wp:positionV relativeFrom="paragraph">
                  <wp:posOffset>635</wp:posOffset>
                </wp:positionV>
                <wp:extent cx="91440" cy="91440"/>
                <wp:effectExtent l="5080" t="5080" r="5080" b="5080"/>
                <wp:wrapNone/>
                <wp:docPr id="3" name=""/>
                <a:graphic xmlns:a="http://schemas.openxmlformats.org/drawingml/2006/main">
                  <a:graphicData uri="http://schemas.microsoft.com/office/word/2010/wordprocessingShape">
                    <wps:wsp>
                      <wps:cNvSpPr/>
                      <wps:spPr>
                        <a:xfrm>
                          <a:off x="0" y="0"/>
                          <a:ext cx="91440" cy="91440"/>
                        </a:xfrm>
                        <a:prstGeom prst="rect">
                          <a:avLst/>
                        </a:prstGeom>
                        <a:solidFill>
                          <a:srgbClr val="ffffff"/>
                        </a:solidFill>
                        <a:ln w="9360">
                          <a:solidFill>
                            <a:srgbClr val="ffffff"/>
                          </a:solidFill>
                          <a:miter/>
                        </a:ln>
                      </wps:spPr>
                      <wps:style>
                        <a:lnRef idx="0"/>
                        <a:fillRef idx="0"/>
                        <a:effectRef idx="0"/>
                        <a:fontRef idx="minor"/>
                      </wps:style>
                      <wps:bodyPr/>
                    </wps:wsp>
                  </a:graphicData>
                </a:graphic>
              </wp:anchor>
            </w:drawing>
          </mc:Choice>
          <mc:Fallback>
            <w:pict>
              <v:rect id="shape_0" fillcolor="white" stroked="t" o:allowincell="f" style="position:absolute;margin-left:-64.8pt;margin-top:0pt;width:7.15pt;height:7.15pt;mso-wrap-style:none;v-text-anchor:middle">
                <v:fill o:detectmouseclick="t" type="solid" color2="black"/>
                <v:stroke color="white" weight="9360" joinstyle="miter" endcap="flat"/>
                <w10:wrap type="none"/>
              </v:rect>
            </w:pict>
          </mc:Fallback>
        </mc:AlternateContent>
      </w:r>
      <w:r>
        <w:rPr>
          <w:b/>
        </w:rPr>
        <w:t>COMMENTS OF THE ELECTRIC POWER SUPPLY ASSOCIATION</w:t>
      </w:r>
    </w:p>
    <w:p>
      <w:pPr>
        <w:pStyle w:val="Normal"/>
        <w:rPr>
          <w:b/>
        </w:rPr>
      </w:pPr>
      <w:r>
        <w:rPr>
          <w:b/>
        </w:rPr>
      </w:r>
    </w:p>
    <w:p>
      <w:pPr>
        <w:pStyle w:val="Normal"/>
        <w:rPr/>
      </w:pPr>
      <w:r>
        <w:rPr/>
      </w:r>
    </w:p>
    <w:p>
      <w:pPr>
        <w:pStyle w:val="BodyTextIndent"/>
        <w:spacing w:lineRule="auto" w:line="480"/>
        <w:rPr/>
      </w:pPr>
      <w:r>
        <w:rPr/>
        <w:t>On May 17, 2000, the Federal Energy Regulatory Commission (Commission or FERC) issued a Notice of Interim Procedures to Support Industry Reliability Efforts and Request For Comments (Notice).  That Notice announced a number of specific actions, for implementation on an interim basis for the summer of 2000, designed to enhance our industry’s efforts to maintain reliability.  In the Notice, the Commission specifically seeks the views of industry participants on the actions identified in the Notice and on “what other short-term measures the Commission and others could take to alleviate reliability stresses during peak periods.”  Comments on short-term interim measures, which should be concise and focused on the actions implemented in the Notice or other “specific actions capable of being accomplished in the short term,” are due by June 2, 2000.  Comments on longer-term initiatives can be submitted by June 30, 2000.</w:t>
      </w:r>
    </w:p>
    <w:p>
      <w:pPr>
        <w:pStyle w:val="Normal"/>
        <w:rPr/>
      </w:pPr>
      <w:r>
        <w:rPr/>
      </w:r>
    </w:p>
    <w:p>
      <w:pPr>
        <w:pStyle w:val="Normal"/>
        <w:spacing w:lineRule="auto" w:line="480"/>
        <w:ind w:firstLine="720" w:end="0"/>
        <w:rPr/>
      </w:pPr>
      <w:r>
        <w:rPr/>
        <w:t>The Electric Power Supply Association</w:t>
      </w:r>
      <w:r>
        <w:rPr>
          <w:rStyle w:val="FootnoteCharacters"/>
          <w:rStyle w:val="FootnoteReference"/>
          <w:sz w:val="20"/>
        </w:rPr>
        <w:footnoteReference w:id="2"/>
      </w:r>
      <w:r>
        <w:rPr>
          <w:sz w:val="20"/>
        </w:rPr>
        <w:t xml:space="preserve"> </w:t>
      </w:r>
      <w:r>
        <w:rPr/>
        <w:t>(EPSA) welcomes this Notice</w:t>
      </w:r>
    </w:p>
    <w:p>
      <w:pPr>
        <w:pStyle w:val="Normal"/>
        <w:spacing w:lineRule="auto" w:line="480"/>
        <w:rPr/>
      </w:pPr>
      <w:r>
        <w:rPr/>
        <w:t>and offers the following comments on the measures proposed by the Commission and on additional measures that will improve reliability for the coming summer.  We anticipate filing additional comments by the June 30</w:t>
      </w:r>
      <w:r>
        <w:rPr>
          <w:vertAlign w:val="superscript"/>
        </w:rPr>
        <w:t>th</w:t>
      </w:r>
      <w:r>
        <w:rPr/>
        <w:t xml:space="preserve"> deadline, presenting long-term reliability measures for the Commission to consider.</w:t>
      </w:r>
    </w:p>
    <w:p>
      <w:pPr>
        <w:pStyle w:val="FootnoteText"/>
        <w:spacing w:lineRule="auto" w:line="480"/>
        <w:ind w:firstLine="720" w:end="0"/>
        <w:rPr/>
      </w:pPr>
      <w:r>
        <w:rPr>
          <w:sz w:val="24"/>
        </w:rPr>
        <w:t>The best guarantor of reliability is a robust competitive market.</w:t>
      </w:r>
      <w:r>
        <w:rPr>
          <w:rStyle w:val="FootnoteCharacters"/>
          <w:rStyle w:val="FootnoteReference"/>
        </w:rPr>
        <w:footnoteReference w:id="3"/>
      </w:r>
      <w:r>
        <w:rPr>
          <w:sz w:val="24"/>
        </w:rPr>
        <w:t xml:space="preserve">  The ability of suppliers to meet the demands of customers in a workably competitive market is the best protection against price volatility.  For the safeguards to work, however, market participants must have confidence that they are being treated fairly and comparably under the Commission’s rules and that transactions will be successfully completed.  In addition, market participants must see the proper price signals and incentives to make longer-term infrastructure investments.  Any action the Commission can take to improve competitive wholesale markets will limit price volatility and improve transmission operations, two vital aspects of reliability during the summer.</w:t>
      </w:r>
    </w:p>
    <w:p>
      <w:pPr>
        <w:pStyle w:val="FootnoteText"/>
        <w:spacing w:lineRule="auto" w:line="480"/>
        <w:ind w:firstLine="720" w:end="0"/>
        <w:rPr>
          <w:sz w:val="24"/>
        </w:rPr>
      </w:pPr>
      <w:r>
        <w:rPr>
          <w:sz w:val="24"/>
        </w:rPr>
        <w:t xml:space="preserve">EPSA members are committed to improving the reliability of today’s electricity system.  EPSA </w:t>
      </w:r>
      <w:r>
        <w:rPr>
          <w:sz w:val="24"/>
          <w:lang w:eastAsia="en-US"/>
        </w:rPr>
        <w:t>members are actively building power plants to meet growing demand in virtually every region of the country, despite obstacles posed to interconnecting those generators to the grid.  EPSA’s research shows that over 6,600 new merchant megawatts are planned to be online by June of 2000, with almost 20,000 megawatts planned to be online by year-end 2000.  This represents 45 new power plants in 20 states, all designed to improve generation adequacy immediately.</w:t>
      </w:r>
      <w:r>
        <w:rPr>
          <w:rStyle w:val="FootnoteCharacters"/>
          <w:rStyle w:val="FootnoteReference"/>
          <w:lang w:eastAsia="en-US"/>
        </w:rPr>
        <w:footnoteReference w:id="4"/>
      </w:r>
      <w:r>
        <w:rPr>
          <w:lang w:eastAsia="en-US"/>
        </w:rPr>
        <w:t xml:space="preserve"> </w:t>
      </w:r>
      <w:r>
        <w:rPr>
          <w:sz w:val="24"/>
          <w:lang w:eastAsia="en-US"/>
        </w:rPr>
        <w:t xml:space="preserve"> To promote investment, the most valuable immediate action the Commission can take is to reject calls for price caps and other ISO market interventions measures that distort market signals and increase risk.</w:t>
      </w:r>
      <w:r>
        <w:rPr>
          <w:rStyle w:val="FootnoteCharacters"/>
          <w:rStyle w:val="FootnoteReference"/>
          <w:lang w:eastAsia="en-US"/>
        </w:rPr>
        <w:footnoteReference w:id="5"/>
      </w:r>
    </w:p>
    <w:p>
      <w:pPr>
        <w:pStyle w:val="FootnoteText"/>
        <w:spacing w:lineRule="auto" w:line="480"/>
        <w:ind w:firstLine="720" w:end="0"/>
        <w:rPr>
          <w:sz w:val="24"/>
        </w:rPr>
      </w:pPr>
      <w:r>
        <w:rPr>
          <w:sz w:val="24"/>
        </w:rPr>
        <w:t>To improve the functioning of the transmission system, EPSA recommends that the Commission take four additional interim steps to improve competition and reliability this summer:</w:t>
      </w:r>
    </w:p>
    <w:p>
      <w:pPr>
        <w:pStyle w:val="FootnoteText"/>
        <w:numPr>
          <w:ilvl w:val="0"/>
          <w:numId w:val="3"/>
        </w:numPr>
        <w:tabs>
          <w:tab w:val="clear" w:pos="720"/>
          <w:tab w:val="left" w:pos="1080" w:leader="none"/>
        </w:tabs>
        <w:spacing w:before="0" w:after="240"/>
        <w:ind w:hanging="360" w:start="1080" w:end="0"/>
        <w:rPr>
          <w:sz w:val="24"/>
        </w:rPr>
      </w:pPr>
      <w:r>
        <w:rPr>
          <w:sz w:val="24"/>
        </w:rPr>
        <w:t>Eliminate the capacity benefit margin (CBM).  This will vastly improve the quality and quantity of available transmission capacity this summer.</w:t>
      </w:r>
    </w:p>
    <w:p>
      <w:pPr>
        <w:pStyle w:val="FootnoteText"/>
        <w:numPr>
          <w:ilvl w:val="0"/>
          <w:numId w:val="3"/>
        </w:numPr>
        <w:tabs>
          <w:tab w:val="clear" w:pos="720"/>
          <w:tab w:val="left" w:pos="1080" w:leader="none"/>
        </w:tabs>
        <w:spacing w:before="0" w:after="240"/>
        <w:ind w:hanging="360" w:start="1080" w:end="0"/>
        <w:rPr>
          <w:sz w:val="24"/>
        </w:rPr>
      </w:pPr>
      <w:r>
        <w:rPr>
          <w:sz w:val="24"/>
        </w:rPr>
        <w:t>Require Level 3 available transmission capacity (ATC) calculations by an independent entity for all Transmission Providers.  This will vastly improve the accuracy of ATC calculations immediately.</w:t>
      </w:r>
    </w:p>
    <w:p>
      <w:pPr>
        <w:pStyle w:val="FootnoteText"/>
        <w:numPr>
          <w:ilvl w:val="0"/>
          <w:numId w:val="3"/>
        </w:numPr>
        <w:tabs>
          <w:tab w:val="clear" w:pos="720"/>
          <w:tab w:val="left" w:pos="1080" w:leader="none"/>
        </w:tabs>
        <w:spacing w:before="0" w:after="240"/>
        <w:ind w:hanging="360" w:start="1080" w:end="0"/>
        <w:rPr>
          <w:sz w:val="24"/>
        </w:rPr>
      </w:pPr>
      <w:r>
        <w:rPr>
          <w:sz w:val="24"/>
        </w:rPr>
        <w:t>Require independent Security Coordinators.  These will also improve ATC calculations and limit transmission loading relief (TLR).</w:t>
      </w:r>
    </w:p>
    <w:p>
      <w:pPr>
        <w:pStyle w:val="FootnoteText"/>
        <w:numPr>
          <w:ilvl w:val="0"/>
          <w:numId w:val="3"/>
        </w:numPr>
        <w:tabs>
          <w:tab w:val="clear" w:pos="720"/>
          <w:tab w:val="left" w:pos="1080" w:leader="none"/>
        </w:tabs>
        <w:ind w:hanging="360" w:start="1080" w:end="0"/>
        <w:rPr>
          <w:sz w:val="24"/>
        </w:rPr>
      </w:pPr>
      <w:r>
        <w:rPr>
          <w:sz w:val="24"/>
        </w:rPr>
        <w:t>Require all service for native load customers to use the pro forma tariff.</w:t>
      </w:r>
    </w:p>
    <w:p>
      <w:pPr>
        <w:pStyle w:val="FootnoteText"/>
        <w:rPr>
          <w:sz w:val="24"/>
        </w:rPr>
      </w:pPr>
      <w:r>
        <w:rPr>
          <w:sz w:val="24"/>
        </w:rPr>
      </w:r>
    </w:p>
    <w:p>
      <w:pPr>
        <w:pStyle w:val="FootnoteText"/>
        <w:spacing w:lineRule="auto" w:line="480"/>
        <w:ind w:firstLine="720" w:end="0"/>
        <w:rPr>
          <w:sz w:val="24"/>
        </w:rPr>
      </w:pPr>
      <w:r>
        <w:rPr>
          <w:sz w:val="24"/>
        </w:rPr>
        <w:t>Taking these actions will dramatically improve reliability this summer and each can be implemented quickly.  Also, EPSA proposes the following minimum first steps to address immediate concerns associated with reliability: (1) require Transmission Providers to give written notice to the Commission of its use of CBM, and post a notice on their OASIS within 24-hours; (2) require OASIS audits; and (3) require the retention of data confirming system conditions existing at the time of a TLR. These ideas are developed further below.</w:t>
      </w:r>
    </w:p>
    <w:p>
      <w:pPr>
        <w:pStyle w:val="Heading1"/>
        <w:spacing w:lineRule="auto" w:line="480"/>
        <w:ind w:hanging="0" w:start="0"/>
        <w:rPr>
          <w:b/>
        </w:rPr>
      </w:pPr>
      <w:r>
        <w:rPr>
          <w:b/>
        </w:rPr>
        <w:t>Commission Actions</w:t>
      </w:r>
    </w:p>
    <w:p>
      <w:pPr>
        <w:pStyle w:val="Normal"/>
        <w:spacing w:lineRule="auto" w:line="480"/>
        <w:ind w:firstLine="720" w:end="0"/>
        <w:rPr/>
      </w:pPr>
      <w:r>
        <w:rPr/>
        <w:t xml:space="preserve">The Commission proposes five actions that primarily focus on enhancing the ability of additional generation and load to respond to demand this summer.  These actions, which allow power to be sold at market-based rates more easily, should improve the ability of generation and load to respond to competitive market signals.  EPSA endorses the waiver of prior filing requirements and other efforts to streamline the administrative and regulatory burdens facing these potential market participants. </w:t>
      </w:r>
    </w:p>
    <w:p>
      <w:pPr>
        <w:pStyle w:val="Normal"/>
        <w:spacing w:lineRule="auto" w:line="480"/>
        <w:ind w:firstLine="720" w:end="0"/>
        <w:rPr/>
      </w:pPr>
      <w:r>
        <w:rPr/>
        <w:t>EPSA also appreciates the Commission’s reminder to Transmission Providers that the assumptions underlying CBM and transmission reliability margin calculations must be periodically reassessed to ensure that ATC postings are accurate.  While this reminder is important, it does not go far enough.  Rather, the Commission should take this opportunity to further clarify that CBM has no place in the competitive market.  Ultimately, CBM should either be eliminated or Transmission Providers should be required to reserve -- and pay for -- the transmission capacity identified as CBM.  In the meantime, however, FERC should require Transmission Providers to post specific information regarding the timing and justification for their use of CBM.</w:t>
      </w:r>
    </w:p>
    <w:p>
      <w:pPr>
        <w:pStyle w:val="Normal"/>
        <w:spacing w:lineRule="auto" w:line="480"/>
        <w:ind w:firstLine="720" w:end="0"/>
        <w:rPr/>
      </w:pPr>
      <w:r>
        <w:rPr/>
        <w:t xml:space="preserve">In a competitive wholesale environment, there is no rational basis for allowing Transmission Providers to withhold from the market (and not pay for) CBM in excess of any transmission reliability margin.  Doing so inhibits access to more competitively priced power in the marketplace that, in turn, deprives consumers of the benefits of competition and leads to volatility.  As EPSA pointed out in the Commission inquiry on CBM last year, CBM is an economic and not a reliability issue.  In fact, the current treatment of CBM has a negative effect on reliability in three ways.  </w:t>
      </w:r>
    </w:p>
    <w:p>
      <w:pPr>
        <w:pStyle w:val="Normal"/>
        <w:spacing w:lineRule="auto" w:line="480"/>
        <w:ind w:firstLine="720" w:end="0"/>
        <w:rPr/>
      </w:pPr>
      <w:r>
        <w:rPr/>
        <w:t xml:space="preserve">First, hundreds, and sometimes thousands, of megawatts of firm transmission service are removed from the market under the guise of CBM.  This transmission service is a valuable commodity for </w:t>
      </w:r>
      <w:r>
        <w:rPr>
          <w:u w:val="single"/>
        </w:rPr>
        <w:t>all</w:t>
      </w:r>
      <w:r>
        <w:rPr/>
        <w:t xml:space="preserve"> market participants and could be used to relieve stress on the nation’s transmission system.  CBM reduces the megawatts that would otherwise be included in ATC calculations and allows Transmission Providers to significantly reduce the amount of transfer capacity over constrained interfaces, thus precluding other power suppliers from reaching those markets for their power.  CBM withdrawals are not insignificant, in some instances involving 15 percent or more of the total transfer capacity (TTC).  If this capacity were made available to all market participants on a non-discriminatory basis, the liquidity needed for more robust markets would be almost immediately available. </w:t>
      </w:r>
    </w:p>
    <w:p>
      <w:pPr>
        <w:pStyle w:val="BodyTextIndent"/>
        <w:spacing w:lineRule="auto" w:line="480"/>
        <w:rPr/>
      </w:pPr>
      <w:r>
        <w:rPr/>
        <w:t>Second, CBM bestows a market advantage on Transmission Providers over other power suppliers that, over time, undermines the ability of those suppliers to compete.  Transmission Providers, and only Transmission Providers, can secure generation reserves using CBM, which enables them to offer a product to their customers that competitive suppliers are unable to match -- not for competitive reasons, but because they lack the Transmission Providers’ priority access to transmission service in the guise of CBM.  This is inherently inefficient and antithetical to a competitive market.</w:t>
      </w:r>
    </w:p>
    <w:p>
      <w:pPr>
        <w:pStyle w:val="Normal"/>
        <w:spacing w:lineRule="auto" w:line="480"/>
        <w:ind w:firstLine="720" w:end="0"/>
        <w:rPr/>
      </w:pPr>
      <w:r>
        <w:rPr/>
        <w:t>Finally, since CBM has the effect of limiting the ability of competitive power suppliers to compete with incumbent utilities, it enhances the market power of incumbents.  The Commission has explicitly recognized in Order No. 888 that customers are the ultimate beneficiaries of robust competition in the bulk power market.  To the extent that competitive power suppliers are barred from market entry or significantly disadvantaged by market rules, they will ultimately be unable to gain sufficient market share to provide benefits to consumers.</w:t>
      </w:r>
    </w:p>
    <w:p>
      <w:pPr>
        <w:pStyle w:val="Normal"/>
        <w:spacing w:lineRule="auto" w:line="480"/>
        <w:ind w:firstLine="720" w:end="0"/>
        <w:rPr/>
      </w:pPr>
      <w:r>
        <w:rPr/>
        <w:t>Therefore, FERC should take this opportunity to send a strong message that CBM must be treated as all other transmission capacity.  If Transmission Providers or any other market participants need firm transmission service, that capacity should be reserved and paid for under the Open Access Transmission Tariff (OATT).  Thus, CBM should be returned to the ATC or auctioned as firm capacity.  If Transmission Providers or any other market participants need generation reserves, those should be obtained through unit and capacity commitments.</w:t>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480"/>
        <w:rPr>
          <w:color w:val="000000"/>
        </w:rPr>
      </w:pPr>
      <w:r>
        <w:rPr>
          <w:color w:val="000000"/>
        </w:rPr>
        <w:tab/>
        <w:t>As an immediate, practical first step, the Commission should require that Transmission Providers notify the Commission in writing and post a notice on their OASIS within 24 hours of using their CBM to import power.  The Commission has held that CBM</w:t>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480"/>
        <w:rPr/>
      </w:pPr>
      <w:r>
        <w:rPr/>
        <w:t>should only be used during an emergency situation</w:t>
      </w:r>
      <w:r>
        <w:rPr>
          <w:rStyle w:val="FootnoteCharacters"/>
          <w:rStyle w:val="FootnoteReference"/>
          <w:color w:val="000000"/>
          <w:sz w:val="20"/>
        </w:rPr>
        <w:footnoteReference w:id="6"/>
      </w:r>
      <w:r>
        <w:rPr/>
        <w:t>.  Such a posting would be consistent with the Commission's 24-hour notification and posting requirements when Transmission Providers waive the Order No. 889 Standards of Conduct during an emergency.</w:t>
      </w:r>
      <w:r>
        <w:rPr>
          <w:rStyle w:val="FootnoteCharacters"/>
          <w:rStyle w:val="FootnoteReference"/>
          <w:color w:val="000000"/>
          <w:sz w:val="20"/>
        </w:rPr>
        <w:footnoteReference w:id="7"/>
      </w:r>
      <w:r>
        <w:rPr>
          <w:sz w:val="20"/>
        </w:rPr>
        <w:t xml:space="preserve">  </w:t>
      </w:r>
      <w:r>
        <w:rPr/>
        <w:t>Similar posting and notification requirements would allow the Commission and other transmission customers to more effectively monitor CBM use by the Transmission Providers</w:t>
      </w:r>
      <w:r>
        <w:rPr>
          <w:rStyle w:val="FootnoteCharacters"/>
          <w:rStyle w:val="FootnoteReference"/>
          <w:color w:val="000000"/>
          <w:sz w:val="20"/>
        </w:rPr>
        <w:footnoteReference w:id="8"/>
      </w:r>
      <w:r>
        <w:rPr/>
        <w:t xml:space="preserve"> and to more effectively request and utilize such reserved CBM on a non-firm basis when it is not being used by the vertically integrated Transmission Providers during an emergency.</w:t>
      </w:r>
    </w:p>
    <w:p>
      <w:pPr>
        <w:pStyle w:val="Heading1"/>
        <w:spacing w:lineRule="auto" w:line="480"/>
        <w:ind w:hanging="0" w:start="0"/>
        <w:rPr>
          <w:b/>
        </w:rPr>
      </w:pPr>
      <w:r>
        <w:rPr>
          <w:b/>
        </w:rPr>
        <w:t>Additional Recommendations</w:t>
      </w:r>
    </w:p>
    <w:p>
      <w:pPr>
        <w:pStyle w:val="Normal"/>
        <w:spacing w:lineRule="auto" w:line="480"/>
        <w:rPr/>
      </w:pPr>
      <w:r>
        <w:rPr/>
        <w:tab/>
        <w:t>In addition to resolving the CBM issue addressed above, EPSA has several suggestions for immediate implementation this summer that would help facilitate more robust markets, improve market confidence and, in turn, enhance reliability.</w:t>
      </w:r>
    </w:p>
    <w:p>
      <w:pPr>
        <w:pStyle w:val="Normal"/>
        <w:spacing w:lineRule="auto" w:line="480"/>
        <w:rPr/>
      </w:pPr>
      <w:r>
        <w:rPr/>
        <w:tab/>
      </w:r>
      <w:r>
        <w:rPr>
          <w:u w:val="single"/>
        </w:rPr>
        <w:t>Independent Calculation and Posting of ATC</w:t>
      </w:r>
    </w:p>
    <w:p>
      <w:pPr>
        <w:pStyle w:val="Normal"/>
        <w:spacing w:lineRule="auto" w:line="480"/>
        <w:rPr/>
      </w:pPr>
      <w:r>
        <w:rPr/>
        <w:tab/>
        <w:t>There is a growing concern in the competitive power supply industry that ATC calculation and posting continues to be problematic.  More than four years have elapsed since the requirement for OASIS and ATC posting was established in Order No. 889 in April 1996.  Despite the work done by the “How and What” Working Groups before that date, North American Electric Reliability Council (NERC) meetings continue to focus on the numerous unresolved ATC issues.  All concede that ATC problems continue to hound the industry, making many OASIS sites difficult, if not impossible, to use.  Continuing problems include:</w:t>
      </w:r>
    </w:p>
    <w:p>
      <w:pPr>
        <w:pStyle w:val="Normal"/>
        <w:numPr>
          <w:ilvl w:val="0"/>
          <w:numId w:val="2"/>
        </w:numPr>
        <w:tabs>
          <w:tab w:val="clear" w:pos="720"/>
          <w:tab w:val="left" w:pos="1080" w:leader="none"/>
        </w:tabs>
        <w:spacing w:before="0" w:after="240"/>
        <w:ind w:hanging="360" w:start="1080" w:end="0"/>
        <w:rPr/>
      </w:pPr>
      <w:r>
        <w:rPr/>
        <w:t>inconsistent path naming and valuations, making transactions through multiple control areas difficult;</w:t>
      </w:r>
    </w:p>
    <w:p>
      <w:pPr>
        <w:pStyle w:val="Normal"/>
        <w:numPr>
          <w:ilvl w:val="0"/>
          <w:numId w:val="2"/>
        </w:numPr>
        <w:tabs>
          <w:tab w:val="clear" w:pos="720"/>
          <w:tab w:val="left" w:pos="1080" w:leader="none"/>
        </w:tabs>
        <w:spacing w:before="0" w:after="240"/>
        <w:ind w:hanging="360" w:start="1080" w:end="0"/>
        <w:rPr/>
      </w:pPr>
      <w:r>
        <w:rPr/>
        <w:t>OASIS sites containing little or no useful information, with ATC calculations updated only twice a year;</w:t>
      </w:r>
    </w:p>
    <w:p>
      <w:pPr>
        <w:pStyle w:val="Normal"/>
        <w:numPr>
          <w:ilvl w:val="0"/>
          <w:numId w:val="2"/>
        </w:numPr>
        <w:tabs>
          <w:tab w:val="clear" w:pos="720"/>
          <w:tab w:val="left" w:pos="1080" w:leader="none"/>
        </w:tabs>
        <w:spacing w:before="0" w:after="240"/>
        <w:ind w:hanging="360" w:start="1080" w:end="0"/>
        <w:rPr/>
      </w:pPr>
      <w:r>
        <w:rPr/>
        <w:t>OASIS sites containing some useful data, but with sufficient elements missing to allow effective use;</w:t>
      </w:r>
    </w:p>
    <w:p>
      <w:pPr>
        <w:pStyle w:val="Normal"/>
        <w:numPr>
          <w:ilvl w:val="0"/>
          <w:numId w:val="2"/>
        </w:numPr>
        <w:tabs>
          <w:tab w:val="clear" w:pos="720"/>
          <w:tab w:val="left" w:pos="1080" w:leader="none"/>
        </w:tabs>
        <w:spacing w:before="0" w:after="240"/>
        <w:ind w:hanging="360" w:start="1080" w:end="0"/>
        <w:rPr/>
      </w:pPr>
      <w:r>
        <w:rPr/>
        <w:t>OASIS sites containing massive amounts of data, but very little useful information; and,</w:t>
      </w:r>
    </w:p>
    <w:p>
      <w:pPr>
        <w:pStyle w:val="Normal"/>
        <w:numPr>
          <w:ilvl w:val="0"/>
          <w:numId w:val="2"/>
        </w:numPr>
        <w:tabs>
          <w:tab w:val="clear" w:pos="720"/>
          <w:tab w:val="left" w:pos="1080" w:leader="none"/>
        </w:tabs>
        <w:spacing w:before="0" w:after="240"/>
        <w:ind w:hanging="360" w:start="1080" w:end="0"/>
        <w:rPr/>
      </w:pPr>
      <w:r>
        <w:rPr/>
        <w:t xml:space="preserve">OASIS sites containing inexplicable information, with ATC calculations varying wildly over short periods of time.  </w:t>
      </w:r>
    </w:p>
    <w:p>
      <w:pPr>
        <w:pStyle w:val="Normal"/>
        <w:ind w:start="720" w:end="0"/>
        <w:rPr/>
      </w:pPr>
      <w:r>
        <w:rPr/>
      </w:r>
    </w:p>
    <w:p>
      <w:pPr>
        <w:pStyle w:val="BodyTextIndent"/>
        <w:spacing w:lineRule="auto" w:line="480"/>
        <w:rPr/>
      </w:pPr>
      <w:r>
        <w:rPr/>
        <w:t xml:space="preserve">In short, while the goal of OASIS and the ATC requirement was to provide market participants with meaningful information about how the system was being used and how it could be used, the result has been far less than satisfactory.  To remedy this problem, the Commission should require the immediate implementation of “Level 3” ATC calculation by independent third parties.  </w:t>
      </w:r>
    </w:p>
    <w:p>
      <w:pPr>
        <w:pStyle w:val="Normal"/>
        <w:spacing w:lineRule="auto" w:line="480"/>
        <w:ind w:firstLine="720" w:end="0"/>
        <w:rPr/>
      </w:pPr>
      <w:r>
        <w:rPr/>
        <w:t xml:space="preserve">This is not an unrealistic proposal.  In Order No. 2000, the Commission concluded that regional transmission organizations (RTOs), when operational, should operate at “Level 3” for ATC and TTC calculations.  This standard requires that the RTO itself calculates the ATC values based on data developed partially or totally by the RTO.  According to the Order, Level 3 “ensures that ATC values are based on accurate information and consistent assumptions.”  </w:t>
      </w:r>
    </w:p>
    <w:p>
      <w:pPr>
        <w:pStyle w:val="Normal"/>
        <w:spacing w:lineRule="auto" w:line="480"/>
        <w:rPr/>
      </w:pPr>
      <w:r>
        <w:rPr/>
        <w:tab/>
        <w:t xml:space="preserve">However, even under an optimistic timetable, RTOs will not all be operational until December 15, 2001.  Well-functioning markets require independent calculation of ATC now.  In the recent AEP-CSW merger case, </w:t>
      </w:r>
      <w:r>
        <w:rPr>
          <w:u w:val="single"/>
        </w:rPr>
        <w:t>American Electric Power Company and Central and South West Corporation</w:t>
      </w:r>
      <w:r>
        <w:rPr/>
        <w:t xml:space="preserve">, 90 FERC 61,242 (2000), the Commission required that ATC valuation be performed by an independent entity prior to the formation of an RTO.  The Order found that independent calculation of ATC would address concerns raised about manipulation of ATC calculations and service denials by AEP.  The Commission also concluded that implementing a requirement that ATC calculations be performed by an independent third party could be accomplished in a relatively short time frame.  </w:t>
      </w:r>
      <w:r>
        <w:rPr>
          <w:u w:val="single"/>
        </w:rPr>
        <w:t>Id</w:t>
      </w:r>
      <w:r>
        <w:rPr/>
        <w:t>., at p. 61,789.</w:t>
      </w:r>
    </w:p>
    <w:p>
      <w:pPr>
        <w:pStyle w:val="Normal"/>
        <w:spacing w:lineRule="auto" w:line="480"/>
        <w:rPr/>
      </w:pPr>
      <w:r>
        <w:rPr/>
        <w:tab/>
        <w:t>The same is true for other Transmission Providers.  While few Transmission Providers have been subject to the scrutiny of AEP, and few have OASIS sites with sufficient data to make a strong case of wrongdoing, the fact is that market participants have serious concerns about the ability of most Transmission Providers to manipulate ATC values.  To provide better ATC calculations, which will relieve unnecessary stress on the transmission system, the Commission should require independent calculation of Level 3 ATC information for all Transmission Providers (outside FERC-approved RTOs) immediately.</w:t>
      </w:r>
    </w:p>
    <w:p>
      <w:pPr>
        <w:pStyle w:val="Normal"/>
        <w:spacing w:lineRule="auto" w:line="480"/>
        <w:ind w:firstLine="720" w:end="0"/>
        <w:rPr/>
      </w:pPr>
      <w:r>
        <w:rPr/>
        <w:t>As an immediate first step, the Commission needs to recognize and address the increasing concern about the validity, accuracy and completeness of information required to be posted on OASIS.  More aggressive measures are needed to ensure that Transmission Providers are following and properly implementing FERC policies and NERC procedures.  Therefore, the Commission should engage in random audits of key information on OASIS, including TLRs and ATC.  These audits could be performed either by FERC staff or by an independent third party on the Commission’s own initiative, as well as in response to specific complaints.</w:t>
      </w:r>
    </w:p>
    <w:p>
      <w:pPr>
        <w:pStyle w:val="Normal"/>
        <w:spacing w:lineRule="auto" w:line="480"/>
        <w:rPr/>
      </w:pPr>
      <w:r>
        <w:rPr/>
        <w:tab/>
      </w:r>
      <w:r>
        <w:rPr>
          <w:u w:val="single"/>
        </w:rPr>
        <w:t>Independent Security Coordinators</w:t>
      </w:r>
    </w:p>
    <w:p>
      <w:pPr>
        <w:pStyle w:val="Normal"/>
        <w:spacing w:lineRule="auto" w:line="480"/>
        <w:rPr/>
      </w:pPr>
      <w:r>
        <w:rPr/>
        <w:tab/>
        <w:t xml:space="preserve">Again, the Commission needs to borrow a page from the RTO playbook.  In Order No. 2000, the Commission concluded that the RTO must be the NERC Security Coordinator for its region.  One benefit of having the RTO be the Security Coordinator is to enhance security coordination functions by performing them over a larger region.  Another important consideration, however, is that “the independence of the Security Coordinator is important for ensuring non-discriminatory transmission service and the RTO will have that independence.”  </w:t>
      </w:r>
    </w:p>
    <w:p>
      <w:pPr>
        <w:pStyle w:val="Normal"/>
        <w:spacing w:lineRule="auto" w:line="480"/>
        <w:rPr/>
      </w:pPr>
      <w:r>
        <w:rPr/>
        <w:tab/>
        <w:t xml:space="preserve">The role of the Security Coordinators and the impact of their actions on competitive power markets is increasingly important.  Security Coordinators are privy to a host of commercially sensitive information about system operations, schedules and reservations.  Under an Interim NERC policy, in place only through July 12, 2000, Security Coordinators are required to be “independent of the merchant function” and not pass along information to any wholesale merchant function that is not made available to the market simultaneously.  </w:t>
      </w:r>
    </w:p>
    <w:p>
      <w:pPr>
        <w:pStyle w:val="Normal"/>
        <w:spacing w:lineRule="auto" w:line="480"/>
        <w:ind w:firstLine="720" w:end="0"/>
        <w:rPr/>
      </w:pPr>
      <w:r>
        <w:rPr/>
        <w:t>NERC has also recently moved to institute a Standard of Conduct (SOC) for Security Coordinators.  Among other things, the SOC is aimed at limiting disclosure of commercially valuable information.  However, even if approved and signed by all Security Coordinators</w:t>
      </w:r>
      <w:r>
        <w:rPr>
          <w:rStyle w:val="FootnoteCharacters"/>
          <w:rStyle w:val="FootnoteReference"/>
          <w:sz w:val="20"/>
        </w:rPr>
        <w:footnoteReference w:id="9"/>
      </w:r>
      <w:r>
        <w:rPr>
          <w:sz w:val="20"/>
        </w:rPr>
        <w:t>,</w:t>
      </w:r>
      <w:r>
        <w:rPr/>
        <w:t xml:space="preserve"> the SOC does not require true independence and lacks an effective enforcement mechanism.  In this regard, NERC’s efforts are too little, too late.  It is far too easy for Security Coordinators to favor their affiliated merchant function and far too difficult to police that conduct to ensure that Security Coordinators are, in fact, operating the system fairly and in a non-discriminatory manner.</w:t>
      </w:r>
    </w:p>
    <w:p>
      <w:pPr>
        <w:pStyle w:val="Normal"/>
        <w:spacing w:lineRule="auto" w:line="480"/>
        <w:ind w:firstLine="720" w:end="0"/>
        <w:rPr/>
      </w:pPr>
      <w:r>
        <w:rPr/>
        <w:t xml:space="preserve">Security Coordinators are also the entities responsible for calling and implementing TLRs, which have wreaked havoc with both reliability and prices for the last two summers.  </w:t>
      </w:r>
    </w:p>
    <w:p>
      <w:pPr>
        <w:pStyle w:val="Normal"/>
        <w:spacing w:lineRule="auto" w:line="480"/>
        <w:ind w:firstLine="720" w:end="0"/>
        <w:rPr/>
      </w:pPr>
      <w:r>
        <w:rPr/>
        <w:t xml:space="preserve">While NERC’s Policy 9 TLR procedures suggest an antiseptic, formulaic approach to TLRs, Security Coordinators have significant discretion in how TLRs are implemented.  A recent report, for example, shows that AEP failed to decrement ATC on all paths with more than a five percent power transfer distribution factor during certain TLR events.  AEP’s failure to decrement these paths benefited its affiliates by allowing their transactions to continue flowing while other suppliers were cut.  (See attached chart.)  </w:t>
      </w:r>
    </w:p>
    <w:p>
      <w:pPr>
        <w:pStyle w:val="Normal"/>
        <w:spacing w:lineRule="auto" w:line="480"/>
        <w:ind w:firstLine="720" w:end="0"/>
        <w:rPr/>
      </w:pPr>
      <w:r>
        <w:rPr/>
        <w:t>This behavior appears to be acceptable under NERC’s Policy 9, which in Appendix 9C1, provides significant discretion to Security Coordinators at a critical point in the TLR procedures without regard to their potential unfair or discriminatory consequences.  At TLR Level 4, Security Coordinators can request that Transmission Providers reconfigure their transmission systems to allow transactions to continue.  Transmission reconfiguration can be implemented as long as it does not jeopardize operating security.  While minimizing curtailments is, in itself, a laudable goal, if it can be implemented in a way that favors the Transmission Provider/Security Coordinator’s generation affiliate, it raises serious concerns about the integrity of the TLR process.  Independence of Security Coordinators will provide the confidence needed that the system is being operated fairly and impartially.</w:t>
      </w:r>
    </w:p>
    <w:p>
      <w:pPr>
        <w:pStyle w:val="Normal"/>
        <w:spacing w:lineRule="auto" w:line="480"/>
        <w:ind w:firstLine="720" w:end="0"/>
        <w:rPr/>
      </w:pPr>
      <w:r>
        <w:rPr/>
        <w:t>As Order No. 2000 recognized, Security Coordinators need to be independent of the Transmission Providers -- indeed, of any entity with a position in the market.  The question is how much the commercial markets will be harmed, and their growth stilted, before independence occurs.  The appearance of functioning RTOs is at least 18 months away; the lack of independence is a significant problem that should -- and can -- be corrected immediately.  Like the suggestion above on independent ATC calculations, EPSA believes that the Commission should impose a requirement that Security Coordinators operate independently of the Transmission Providers as soon as possible.</w:t>
      </w:r>
    </w:p>
    <w:p>
      <w:pPr>
        <w:pStyle w:val="Normal"/>
        <w:spacing w:lineRule="auto" w:line="480"/>
        <w:ind w:firstLine="720" w:end="0"/>
        <w:rPr/>
      </w:pPr>
      <w:r>
        <w:rPr/>
        <w:t>At a minimum, as an immediate practical measure, the data needed to recreate system conditions existing at the time of a TLR must be available to confirm that all applicable rules and procedures were properly observed.  The Commission should require that this “snapshot” information be collected and made available to help ensure that curtailments are absolutely necessary and warranted.</w:t>
      </w:r>
    </w:p>
    <w:p>
      <w:pPr>
        <w:pStyle w:val="Normal"/>
        <w:spacing w:lineRule="auto" w:line="480"/>
        <w:ind w:firstLine="720" w:end="0"/>
        <w:rPr/>
      </w:pPr>
      <w:r>
        <w:rPr/>
        <w:t>Additionally, the NERC has revised Policy 9 to provide for reallocation procedures under which firm transactions would receive priority over non-firm transactions.  This measure has received wide support and is viewed as a positive step toward reducing, if not eliminating, the need for TLRs.  A July 11</w:t>
      </w:r>
      <w:r>
        <w:rPr>
          <w:vertAlign w:val="superscript"/>
        </w:rPr>
        <w:t>th</w:t>
      </w:r>
      <w:r>
        <w:rPr/>
        <w:t xml:space="preserve"> target date has been set for the implementation of the reallocation procedures.  However, there is concern that computer enhancements to the Interchange Distribution Calculator and E-Tagging procedures associated with the reallocation process, as well as delays in training programs, could unnecessarily delay its implementation.  If and when implemented, the reallocation procedures are expected to provide some relief from curtailments and make a significant contribution to system reliability.  Therefore, the Commission should send a clear signal that these Policy 9 revisions should be implemented as soon as possible, and further require that specific, justifiable reasons be provided for any delay in the implementation of the reallocation procedures.  </w:t>
      </w:r>
    </w:p>
    <w:p>
      <w:pPr>
        <w:pStyle w:val="Normal"/>
        <w:spacing w:lineRule="auto" w:line="480"/>
        <w:rPr/>
      </w:pPr>
      <w:r>
        <w:rPr/>
      </w:r>
    </w:p>
    <w:p>
      <w:pPr>
        <w:pStyle w:val="Heading2"/>
        <w:rPr/>
      </w:pPr>
      <w:r>
        <w:rPr/>
        <w:t>Single Tariff</w:t>
      </w:r>
    </w:p>
    <w:p>
      <w:pPr>
        <w:pStyle w:val="Normal"/>
        <w:spacing w:lineRule="auto" w:line="480"/>
        <w:ind w:firstLine="720" w:end="0"/>
        <w:rPr/>
      </w:pPr>
      <w:r>
        <w:rPr/>
        <w:t xml:space="preserve">At the heart of the problems outlined above is the fact that Transmission Providers are permitted to provide service for native load customers outside the requirements of the pro forma tariff.  As a result, the Commission’s open access rules apply to less than 20 percent of the transmission service provided.  While this figure is a low percentage, it points to a much bigger problem.  Since at least 80 percent of all transmission service is provided by utilities to their bundled retail customers, this service remains a “black box.”  While such a high percentage of transmission service remains outside the requirements of the OATT, its impact on the OATT service is immeasurable.  Market participants are simply unable to know if transmission capacity, ostensibly reserved for native load, is actually used for another purpose.  Since bundled service remains shielded from any OASIS posting or other public disclosure, the ability to game the system is virtually unlimited and, worse, impossible to detect or prove.  Only when all uses of the system occur under the requirements of the tariff will market participants have any confidence that the system is being used fairly and comparably.  </w:t>
      </w:r>
    </w:p>
    <w:p>
      <w:pPr>
        <w:pStyle w:val="Normal"/>
        <w:spacing w:lineRule="auto" w:line="480"/>
        <w:ind w:firstLine="720" w:end="0"/>
        <w:rPr/>
      </w:pPr>
      <w:r>
        <w:rPr/>
        <w:t xml:space="preserve">While the industry has long debated this issue and the Commission’s ill-fated capacity reservation tariff notice of proposed rulemaking of 1996, one option for immediate implementation would be to require native load service to use network service under Order No. 888.  While EPSA remains quite concerned that network and point-to-point service under Order No. 888 remain separate and </w:t>
      </w:r>
      <w:r>
        <w:rPr>
          <w:i/>
        </w:rPr>
        <w:t>unequal</w:t>
      </w:r>
      <w:r>
        <w:rPr/>
        <w:t xml:space="preserve"> services, having native load service on an open access tariff would be an improvement over the status quo.  </w:t>
      </w:r>
    </w:p>
    <w:p>
      <w:pPr>
        <w:pStyle w:val="BodyTextStyle"/>
        <w:rPr>
          <w:rFonts w:ascii="Arial" w:hAnsi="Arial" w:cs="Arial"/>
        </w:rPr>
      </w:pPr>
      <w:r>
        <w:rPr>
          <w:rFonts w:cs="Arial" w:ascii="Arial" w:hAnsi="Arial"/>
        </w:rPr>
        <w:t>Ultimately, however, the elimination of residual discrimination will occur only when all uses of the transmission grid are under the same rate schedules, terms and conditions.  With actual comparability, the transmission owner’s interest would be to operate the grid as a stand-alone business and maximize throughput, rather than to use transmission to increase the return on its investment in power generation, marketing and sales.  With its incentives aligned in this manner, the transmission operator could be expected to pursue those regional combinations that make the most business sense.  Thus, as a longer-term strategy, comparability is critical if competitive power markets are to achieve their full potential and ensure reliability.</w:t>
      </w:r>
    </w:p>
    <w:p>
      <w:pPr>
        <w:pStyle w:val="Heading1"/>
        <w:spacing w:lineRule="auto" w:line="480"/>
        <w:ind w:hanging="0" w:start="0"/>
        <w:rPr>
          <w:b/>
        </w:rPr>
      </w:pPr>
      <w:r>
        <w:rPr>
          <w:b/>
        </w:rPr>
        <w:t>Conclusion</w:t>
      </w:r>
    </w:p>
    <w:p>
      <w:pPr>
        <w:pStyle w:val="Normal"/>
        <w:spacing w:lineRule="auto" w:line="480"/>
        <w:rPr/>
      </w:pPr>
      <w:r>
        <w:rPr/>
        <w:tab/>
        <w:t xml:space="preserve">EPSA endorses the Commission’s efforts to improve reliability both this summer and in the longer-term.  In addition to the steps identified in the Notice, EPSA urges the Commission to adopt the measures outlined herein to ensure robust </w:t>
      </w:r>
      <w:r>
        <w:rPr>
          <w:u w:val="single"/>
        </w:rPr>
        <w:t>and</w:t>
      </w:r>
      <w:r>
        <w:rPr/>
        <w:t xml:space="preserve"> reliable energy markets.</w:t>
      </w:r>
    </w:p>
    <w:p>
      <w:pPr>
        <w:pStyle w:val="Normal"/>
        <w:rPr/>
      </w:pPr>
      <w:r>
        <w:rPr/>
      </w:r>
    </w:p>
    <w:p>
      <w:pPr>
        <w:pStyle w:val="Normal"/>
        <w:rPr/>
      </w:pPr>
      <w:r>
        <w:rPr/>
        <w:t>Dated:  June 2, 2000</w:t>
      </w:r>
    </w:p>
    <w:p>
      <w:pPr>
        <w:pStyle w:val="Normal"/>
        <w:rPr/>
      </w:pPr>
      <w:r>
        <w:rPr/>
      </w:r>
    </w:p>
    <w:p>
      <w:pPr>
        <w:pStyle w:val="Normal"/>
        <w:rPr/>
      </w:pPr>
      <w:r>
        <w:rPr/>
        <w:tab/>
        <w:tab/>
        <w:tab/>
        <w:tab/>
        <w:tab/>
        <w:tab/>
        <w:t>Respectfully submitted,</w:t>
      </w:r>
    </w:p>
    <w:p>
      <w:pPr>
        <w:pStyle w:val="Normal"/>
        <w:rPr/>
      </w:pPr>
      <w:r>
        <w:rPr/>
      </w:r>
    </w:p>
    <w:p>
      <w:pPr>
        <w:pStyle w:val="Normal"/>
        <w:ind w:start="2880" w:end="0"/>
        <w:rPr/>
      </w:pPr>
      <w:r>
        <w:rPr/>
        <w:tab/>
        <w:tab/>
        <w:tab/>
        <w:tab/>
      </w:r>
      <w:r>
        <w:rPr>
          <w:b/>
          <w:sz w:val="28"/>
        </w:rPr>
        <w:tab/>
        <w:tab/>
        <w:tab/>
      </w:r>
      <w:r>
        <w:rPr/>
        <w:tab/>
        <w:tab/>
        <w:tab/>
        <w:tab/>
        <w:tab/>
        <w:tab/>
        <w:tab/>
        <w:tab/>
        <w:tab/>
        <w:tab/>
        <w:tab/>
        <w:tab/>
        <w:tab/>
        <w:t>_____________________________</w:t>
      </w:r>
    </w:p>
    <w:p>
      <w:pPr>
        <w:pStyle w:val="Normal"/>
        <w:ind w:start="4320" w:end="0"/>
        <w:rPr/>
      </w:pPr>
      <w:r>
        <w:rPr/>
        <w:t>Julie Simon, Director of Policy</w:t>
      </w:r>
    </w:p>
    <w:p>
      <w:pPr>
        <w:pStyle w:val="Normal"/>
        <w:ind w:start="4320" w:end="0"/>
        <w:rPr/>
      </w:pPr>
      <w:r>
        <w:rPr/>
        <w:t>Mark E. Bennett, Senior Manager of Policy</w:t>
      </w:r>
    </w:p>
    <w:p>
      <w:pPr>
        <w:pStyle w:val="Normal"/>
        <w:ind w:start="4320" w:end="0"/>
        <w:rPr>
          <w:caps/>
        </w:rPr>
      </w:pPr>
      <w:r>
        <w:rPr>
          <w:caps/>
        </w:rPr>
        <w:t>Electric pOWER SUPPLY Association</w:t>
      </w:r>
    </w:p>
    <w:p>
      <w:pPr>
        <w:pStyle w:val="Normal"/>
        <w:ind w:start="4320" w:end="0"/>
        <w:rPr/>
      </w:pPr>
      <w:r>
        <w:rPr/>
        <w:t>1401 H Street, NW, Suite 760</w:t>
      </w:r>
    </w:p>
    <w:p>
      <w:pPr>
        <w:pStyle w:val="Normal"/>
        <w:ind w:start="4320" w:end="0"/>
        <w:rPr/>
      </w:pPr>
      <w:r>
        <w:rPr/>
        <w:t>Washington, DC  20005</w:t>
      </w:r>
    </w:p>
    <w:p>
      <w:pPr>
        <w:pStyle w:val="Normal"/>
        <w:ind w:firstLine="720" w:start="3600" w:end="0"/>
        <w:rPr/>
      </w:pPr>
      <w:r>
        <w:rPr/>
        <w:t>202-789-7200</w:t>
      </w:r>
    </w:p>
    <w:p>
      <w:pPr>
        <w:pStyle w:val="Normal"/>
        <w:spacing w:lineRule="auto" w:line="480"/>
        <w:rPr/>
      </w:pPr>
      <w:r>
        <w:rPr/>
        <w:tab/>
        <w:tab/>
        <w:tab/>
        <w:tab/>
        <w:tab/>
        <w:tab/>
        <w:tab/>
        <w:tab/>
      </w:r>
    </w:p>
    <w:sectPr>
      <w:footerReference w:type="default" r:id="rId2"/>
      <w:footerReference w:type="first" r:id="rId3"/>
      <w:footnotePr>
        <w:numFmt w:val="decimal"/>
      </w:footnotePr>
      <w:type w:val="nextPage"/>
      <w:pgSz w:w="12240" w:h="15840"/>
      <w:pgMar w:left="1440" w:right="1440" w:gutter="0" w:header="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Liberation Sans">
    <w:altName w:val="Arial"/>
    <w:charset w:val="01" w:characterSet="utf-8"/>
    <w:family w:val="swiss"/>
    <w:pitch w:val="variable"/>
  </w:font>
  <w:font w:name="Galliard">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14">
              <wp:simplePos x="0" y="0"/>
              <wp:positionH relativeFrom="margin">
                <wp:align>center</wp:align>
              </wp:positionH>
              <wp:positionV relativeFrom="paragraph">
                <wp:posOffset>635</wp:posOffset>
              </wp:positionV>
              <wp:extent cx="141605" cy="146050"/>
              <wp:effectExtent l="0" t="0" r="0" b="0"/>
              <wp:wrapSquare wrapText="bothSides"/>
              <wp:docPr id="4" name="Frame2"/>
              <a:graphic xmlns:a="http://schemas.openxmlformats.org/drawingml/2006/main">
                <a:graphicData uri="http://schemas.microsoft.com/office/word/2010/wordprocessingShape">
                  <wps:wsp>
                    <wps:cNvSpPr txBox="1"/>
                    <wps:spPr>
                      <a:xfrm>
                        <a:off x="0" y="0"/>
                        <a:ext cx="141605" cy="146050"/>
                      </a:xfrm>
                      <a:prstGeom prst="rect"/>
                      <a:solidFill>
                        <a:srgbClr val="FFFFFF">
                          <a:alpha val="0"/>
                        </a:srgbClr>
                      </a:solidFill>
                    </wps:spPr>
                    <wps:txbx>
                      <w:txbxContent>
                        <w:p>
                          <w:pPr>
                            <w:pStyle w:val="Footer"/>
                            <w:rPr>
                              <w:rStyle w:val="PageNumber"/>
                              <w:sz w:val="20"/>
                            </w:rPr>
                          </w:pP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14</w:t>
                          </w:r>
                          <w:r>
                            <w:rPr>
                              <w:rStyle w:val="PageNumber"/>
                              <w:sz w:val="20"/>
                            </w:rPr>
                            <w:fldChar w:fldCharType="end"/>
                          </w:r>
                        </w:p>
                      </w:txbxContent>
                    </wps:txbx>
                    <wps:bodyPr anchor="t" lIns="0" tIns="0" rIns="0" bIns="0">
                      <a:noAutofit/>
                    </wps:bodyPr>
                  </wps:wsp>
                </a:graphicData>
              </a:graphic>
            </wp:anchor>
          </w:drawing>
        </mc:Choice>
        <mc:Fallback>
          <w:pict>
            <v:rect fillcolor="#FFFFFF" style="position:absolute;rotation:-0;width:11.15pt;height:11.5pt;mso-wrap-distance-left:0pt;mso-wrap-distance-right:0pt;mso-wrap-distance-top:0pt;mso-wrap-distance-bottom:0pt;margin-top:0.05pt;mso-position-vertical-relative:text;margin-left:228.45pt;mso-position-horizontal:center;mso-position-horizontal-relative:margin">
              <v:fill opacity="0f"/>
              <v:textbox inset="0in,0in,0in,0in">
                <w:txbxContent>
                  <w:p>
                    <w:pPr>
                      <w:pStyle w:val="Footer"/>
                      <w:rPr>
                        <w:rStyle w:val="PageNumber"/>
                        <w:sz w:val="20"/>
                      </w:rPr>
                    </w:pP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14</w:t>
                    </w:r>
                    <w:r>
                      <w:rPr>
                        <w:rStyle w:val="PageNumber"/>
                        <w:sz w:val="20"/>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footnoteRef/>
      </w:r>
      <w:r>
        <w:rPr/>
        <w:t xml:space="preserve">  </w:t>
      </w:r>
      <w:r>
        <w:rPr/>
        <w:t>EPSA is the national trade association representing competitive power suppliers active in U.S. and global power markets.  EPSA’s members, which include power generators, power marketers and suppliers of goods and services to the electric power supply industry, share a commitment to bringing the benefits of competition to all electricity customers.  Using a broad spectrum of fossil-fuel and renewable technologies, EPSA members generate reliable, competitively priced electricity, steam and other forms of useful energy from environmentally-responsible facilities.  The comments contained in this filing represent the position of EPSA as an organization, but not necessarily the view of any particular member with respect to any issue.</w:t>
      </w:r>
    </w:p>
    <w:p>
      <w:pPr>
        <w:pStyle w:val="FootnoteText"/>
        <w:rPr/>
      </w:pPr>
      <w:r>
        <w:rPr/>
      </w:r>
    </w:p>
  </w:footnote>
  <w:footnote w:id="3">
    <w:p>
      <w:pPr>
        <w:pStyle w:val="FootnoteText"/>
        <w:rPr/>
      </w:pPr>
      <w:r>
        <w:rPr>
          <w:rStyle w:val="FootnoteCharacters"/>
        </w:rPr>
        <w:footnoteRef/>
      </w:r>
      <w:r>
        <w:rPr/>
        <w:t xml:space="preserve">  </w:t>
      </w:r>
      <w:r>
        <w:rPr/>
        <w:t xml:space="preserve">Reliability encompasses both system security (often considered short-term or real-time considerations) and adequacy (which encompasses a longer-term planning horizon).  Well functioning markets require, and can produce, a high degree of both security and adequacy.  However, in a competitive market, the “cost” of reliability is not infinite.  Transmission customers must be able to know and price the actual level of service supplied and energy suppliers and customers must be able to see and respond to price signals.  </w:t>
      </w:r>
    </w:p>
    <w:p>
      <w:pPr>
        <w:pStyle w:val="FootnoteText"/>
        <w:rPr/>
      </w:pPr>
      <w:r>
        <w:rPr/>
      </w:r>
    </w:p>
  </w:footnote>
  <w:footnote w:id="4">
    <w:p>
      <w:pPr>
        <w:pStyle w:val="FootnoteText"/>
        <w:rPr/>
      </w:pPr>
      <w:r>
        <w:rPr>
          <w:rStyle w:val="FootnoteCharacters"/>
        </w:rPr>
        <w:footnoteRef/>
      </w:r>
      <w:r>
        <w:rPr/>
        <w:t xml:space="preserve">  </w:t>
      </w:r>
      <w:r>
        <w:rPr/>
        <w:t>EPSA’s latest Merchant Plant Matrix, which is attached, shows over 170,000 megawatts of announced merchant capacity planned for the next several years.</w:t>
      </w:r>
    </w:p>
    <w:p>
      <w:pPr>
        <w:pStyle w:val="FootnoteText"/>
        <w:rPr/>
      </w:pPr>
      <w:r>
        <w:rPr/>
      </w:r>
    </w:p>
  </w:footnote>
  <w:footnote w:id="5">
    <w:p>
      <w:pPr>
        <w:pStyle w:val="FootnoteText"/>
        <w:rPr/>
      </w:pPr>
      <w:r>
        <w:rPr>
          <w:rStyle w:val="FootnoteCharacters"/>
        </w:rPr>
        <w:footnoteRef/>
      </w:r>
      <w:r>
        <w:rPr/>
        <w:t xml:space="preserve">  </w:t>
      </w:r>
      <w:r>
        <w:rPr/>
        <w:t>National policies to facilitate new generation interconnections remain a key concern for EPSA.  However, we concede that an industry-wide dialogue designed to streamline interconnection procedures and develop more consistent interconnection standards, while it could be initiated immediately, is unlikely to be completed by this summer.  Nonetheless, EPSA urges the Commission to adopt a more national approach to interconnection and we will address this issue in more detail in June 30</w:t>
      </w:r>
      <w:r>
        <w:rPr>
          <w:vertAlign w:val="superscript"/>
        </w:rPr>
        <w:t>th</w:t>
      </w:r>
      <w:r>
        <w:rPr/>
        <w:t xml:space="preserve"> comments on longer-term reliability strategies.</w:t>
      </w:r>
    </w:p>
  </w:footnote>
  <w:footnote w:id="6">
    <w:p>
      <w:pPr>
        <w:pStyle w:val="FootnoteText"/>
        <w:rPr/>
      </w:pPr>
      <w:r>
        <w:rPr>
          <w:rStyle w:val="FootnoteCharacters"/>
        </w:rPr>
        <w:footnoteRef/>
      </w:r>
      <w:r>
        <w:rPr/>
        <w:t xml:space="preserve">  </w:t>
      </w:r>
      <w:r>
        <w:rPr>
          <w:u w:val="single"/>
        </w:rPr>
        <w:t>Capacity Benefit Margin in Computing Available Transmission Capacity</w:t>
      </w:r>
      <w:r>
        <w:rPr/>
        <w:t>, 88 FERC ¶61,099 (1999).</w:t>
        <w:br/>
      </w:r>
    </w:p>
  </w:footnote>
  <w:footnote w:id="7">
    <w:p>
      <w:pPr>
        <w:pStyle w:val="FootnoteText"/>
        <w:rPr/>
      </w:pPr>
      <w:r>
        <w:rPr>
          <w:rStyle w:val="FootnoteCharacters"/>
        </w:rPr>
        <w:footnoteRef/>
      </w:r>
      <w:r>
        <w:rPr/>
        <w:t xml:space="preserve">  </w:t>
      </w:r>
      <w:r>
        <w:rPr>
          <w:u w:val="single"/>
        </w:rPr>
        <w:t>Open Access Same-Time Information System,</w:t>
      </w:r>
      <w:r>
        <w:rPr/>
        <w:t xml:space="preserve"> Order No. 889, 61 Fed. Reg. 21,737 (1996).  FERC statutes and Regulations, Regulations Preambles January 1991-June 1996 ¶31,035 (1996), order on reh’g. Order No. 889-A, 62Fed.  Reg. 12,484 (1997), FERC Statutes and Regulations ¶31,049 (1997), order on reh’g. Order No. 889-B FERC ¶61,253 (1997).</w:t>
      </w:r>
    </w:p>
  </w:footnote>
  <w:footnote w:id="8">
    <w:p>
      <w:pPr>
        <w:pStyle w:val="FootnoteText"/>
        <w:rPr/>
      </w:pPr>
      <w:r>
        <w:rPr>
          <w:rStyle w:val="FootnoteCharacters"/>
        </w:rPr>
        <w:footnoteRef/>
      </w:r>
      <w:r>
        <w:rPr/>
        <w:t xml:space="preserve">  </w:t>
      </w:r>
      <w:r>
        <w:rPr>
          <w:u w:val="single"/>
        </w:rPr>
        <w:t>Aquila Power Corporation v. Entergy Services, Inc.</w:t>
      </w:r>
      <w:r>
        <w:rPr/>
        <w:t>, 90 FERC 61,260 (2000).</w:t>
      </w:r>
    </w:p>
  </w:footnote>
  <w:footnote w:id="9">
    <w:p>
      <w:pPr>
        <w:pStyle w:val="FootnoteText"/>
        <w:rPr/>
      </w:pPr>
      <w:r>
        <w:rPr>
          <w:rStyle w:val="FootnoteCharacters"/>
        </w:rPr>
        <w:footnoteRef/>
      </w:r>
      <w:r>
        <w:rPr/>
        <w:t xml:space="preserve">  </w:t>
      </w:r>
      <w:r>
        <w:rPr/>
        <w:t>The SOC is still mired in NERC’s committee review process.  There may be a version presented to the NERC Board at its meeting later this month.</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Wingdings" w:hAnsi="Wingdings" w:cs="Wingdings" w:hint="default"/>
      </w:rPr>
    </w:lvl>
  </w:abstractNum>
  <w:abstractNum w:abstractNumId="3">
    <w:lvl w:ilvl="0">
      <w:start w:val="1"/>
      <w:numFmt w:val="decimal"/>
      <w:lvlText w:val="%1."/>
      <w:lvlJc w:val="start"/>
      <w:pPr>
        <w:tabs>
          <w:tab w:val="num" w:pos="360"/>
        </w:tabs>
        <w:ind w:start="360" w:hanging="36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90"/>
  <w:defaultTabStop w:val="720"/>
  <w:autoHyphenation w:val="true"/>
  <w:hyphenationZone w:val="0"/>
  <w:footnotePr>
    <w:numFmt w:val="decimal"/>
    <w:footnote w:id="0"/>
    <w:footnote w:id="1"/>
  </w:footnotePr>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Arial" w:hAnsi="Arial" w:eastAsia="Times New Roman" w:cs="Arial"/>
      <w:color w:val="auto"/>
      <w:sz w:val="24"/>
      <w:szCs w:val="20"/>
      <w:lang w:val="en-US" w:eastAsia="zh-CN" w:bidi="hi-IN"/>
    </w:rPr>
  </w:style>
  <w:style w:type="paragraph" w:styleId="Heading1">
    <w:name w:val="heading 1"/>
    <w:basedOn w:val="Normal"/>
    <w:next w:val="Normal"/>
    <w:qFormat/>
    <w:pPr>
      <w:keepNext w:val="true"/>
      <w:numPr>
        <w:ilvl w:val="0"/>
        <w:numId w:val="1"/>
      </w:numPr>
      <w:outlineLvl w:val="0"/>
    </w:pPr>
    <w:rPr>
      <w:u w:val="single"/>
    </w:rPr>
  </w:style>
  <w:style w:type="paragraph" w:styleId="Heading2">
    <w:name w:val="heading 2"/>
    <w:basedOn w:val="Normal"/>
    <w:next w:val="Normal"/>
    <w:qFormat/>
    <w:pPr>
      <w:keepNext w:val="true"/>
      <w:numPr>
        <w:ilvl w:val="1"/>
        <w:numId w:val="1"/>
      </w:numPr>
      <w:spacing w:lineRule="auto" w:line="480"/>
      <w:ind w:firstLine="720" w:start="0" w:end="0"/>
      <w:outlineLvl w:val="1"/>
    </w:pPr>
    <w:rPr>
      <w:u w:val="single"/>
    </w:rPr>
  </w:style>
  <w:style w:type="paragraph" w:styleId="Heading9">
    <w:name w:val="heading 9"/>
    <w:basedOn w:val="Normal"/>
    <w:next w:val="Normal"/>
    <w:qFormat/>
    <w:pPr>
      <w:keepNext w:val="true"/>
      <w:numPr>
        <w:ilvl w:val="8"/>
        <w:numId w:val="1"/>
      </w:numPr>
      <w:ind w:firstLine="720" w:start="0" w:end="0"/>
      <w:jc w:val="center"/>
      <w:outlineLvl w:val="8"/>
    </w:pPr>
    <w:rPr>
      <w:b/>
      <w:u w:val="single"/>
    </w:rPr>
  </w:style>
  <w:style w:type="character" w:styleId="WW8Num1z0">
    <w:name w:val="WW8Num1z0"/>
    <w:qFormat/>
    <w:rPr>
      <w:rFonts w:ascii="Wingdings" w:hAnsi="Wingdings" w:cs="Wingdings"/>
    </w:rPr>
  </w:style>
  <w:style w:type="character" w:styleId="WW8Num3z0">
    <w:name w:val="WW8Num3z0"/>
    <w:qFormat/>
    <w:rPr>
      <w:rFonts w:ascii="Wingdings" w:hAnsi="Wingdings" w:cs="Wingdings"/>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PageNumber">
    <w:name w:val="page number"/>
    <w:basedOn w:val="DefaultParagraphFon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spacing w:lineRule="exact" w:line="260"/>
    </w:pPr>
    <w:rPr>
      <w:rFonts w:ascii="Galliard;Times New Roman" w:hAnsi="Galliard;Times New Roman" w:cs="Galliard;Times New Roman"/>
    </w:rPr>
  </w:style>
  <w:style w:type="paragraph" w:styleId="Center">
    <w:name w:val="Center"/>
    <w:basedOn w:val="Normal"/>
    <w:qFormat/>
    <w:pPr>
      <w:spacing w:lineRule="exact" w:line="260" w:before="260" w:after="0"/>
      <w:jc w:val="center"/>
    </w:pPr>
    <w:rPr>
      <w:rFonts w:ascii="Galliard;Times New Roman" w:hAnsi="Galliard;Times New Roman" w:cs="Galliard;Times New Roman"/>
    </w:rPr>
  </w:style>
  <w:style w:type="paragraph" w:styleId="FootnoteText">
    <w:name w:val="footnote text"/>
    <w:basedOn w:val="Normal"/>
    <w:pPr/>
    <w:rPr>
      <w:sz w:val="20"/>
    </w:rPr>
  </w:style>
  <w:style w:type="paragraph" w:styleId="BodyTextStyle">
    <w:name w:val="Body Text Style"/>
    <w:basedOn w:val="Normal"/>
    <w:qFormat/>
    <w:pPr>
      <w:tabs>
        <w:tab w:val="clear" w:pos="720"/>
        <w:tab w:val="left" w:pos="1080" w:leader="none"/>
      </w:tabs>
      <w:spacing w:lineRule="auto" w:line="480" w:before="72" w:after="141"/>
      <w:ind w:firstLine="1080" w:start="0" w:end="0"/>
    </w:pPr>
    <w:rPr>
      <w:rFonts w:ascii="Galliard;Times New Roman" w:hAnsi="Galliard;Times New Roman" w:cs="Galliard;Times New Roman"/>
    </w:rPr>
  </w:style>
  <w:style w:type="paragraph" w:styleId="BodyTextIndent">
    <w:name w:val="Body Text Indent"/>
    <w:basedOn w:val="Normal"/>
    <w:pPr>
      <w:ind w:firstLine="720" w:start="0" w:end="0"/>
    </w:pPr>
    <w:rPr/>
  </w:style>
  <w:style w:type="paragraph" w:styleId="BodyText2">
    <w:name w:val="Body Text 2"/>
    <w:basedOn w:val="Normal"/>
    <w:qFormat/>
    <w:pPr/>
    <w:rPr/>
  </w:style>
  <w:style w:type="paragraph" w:styleId="BlockText">
    <w:name w:val="Block Text"/>
    <w:basedOn w:val="Normal"/>
    <w:qFormat/>
    <w:pPr>
      <w:ind w:hanging="0" w:start="720" w:end="1080"/>
    </w:pPr>
    <w:rPr/>
  </w:style>
  <w:style w:type="paragraph" w:styleId="Footer">
    <w:name w:val="footer"/>
    <w:basedOn w:val="Normal"/>
    <w:pPr>
      <w:tabs>
        <w:tab w:val="clear" w:pos="720"/>
        <w:tab w:val="center" w:pos="4320" w:leader="none"/>
        <w:tab w:val="right" w:pos="8640" w:leader="none"/>
      </w:tabs>
    </w:pPr>
    <w:rPr/>
  </w:style>
  <w:style w:type="paragraph" w:styleId="Style0">
    <w:name w:val="Style0"/>
    <w:qFormat/>
    <w:pPr>
      <w:widowControl/>
      <w:bidi w:val="0"/>
    </w:pPr>
    <w:rPr>
      <w:rFonts w:ascii="Arial" w:hAnsi="Arial" w:eastAsia="Times New Roman" w:cs="Arial"/>
      <w:color w:val="auto"/>
      <w:sz w:val="24"/>
      <w:szCs w:val="20"/>
      <w:lang w:val="en-US" w:eastAsia="en-US" w:bidi="hi-IN"/>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861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2000-05-23T16:18:00Z</dcterms:created>
  <dc:creator>julie simon</dc:creator>
  <dc:description/>
  <dc:language>en-CA</dc:language>
  <cp:lastModifiedBy>EPSA</cp:lastModifiedBy>
  <cp:lastPrinted>2000-06-01T19:19:00Z</cp:lastPrinted>
  <dcterms:modified xsi:type="dcterms:W3CDTF">2000-06-02T12:25:00Z</dcterms:modified>
  <cp:revision>34</cp:revision>
  <dc:subject/>
  <dc:title>UNITED STATES OF AMERICA</dc:title>
</cp:coreProperties>
</file>