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DAWSON, SHERRY</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QUIGLEY, HENRY H</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FINANCIAL GAS SUPPORT</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SPECIALIST</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SPEC RISK MANAGEMENT</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JUL 24, 2000</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JUL 24, 2000</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Sherry is still learning the Enron Risk systems but has offered several ideas to work though the daily check out process.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Sherry is always heading in the right direction. She communicates with people at many levels and need to keep in mind the person that she is talking to when she is asking the questions.</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lang w:val="en-CA"/>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Sherry is a hard worker and get the job done. She is a good team player</w:t>
            </w:r>
            <w:r>
              <w:rPr>
                <w:rFonts w:cs="Arial" w:ascii="Arial" w:hAnsi="Arial"/>
                <w:b/>
                <w:sz w:val="18"/>
                <w:shd w:fill="FFFFFF" w:val="clear"/>
                <w:lang w:val="en-CA"/>
              </w:rPr>
            </w:r>
          </w:p>
          <w:p>
            <w:pPr>
              <w:pStyle w:val="Normal"/>
              <w:rPr>
                <w:rFonts w:ascii="Arial" w:hAnsi="Arial" w:cs="Arial"/>
              </w:rPr>
            </w:pPr>
            <w:r>
              <w:rPr>
                <w:rFonts w:cs="Arial" w:ascii="Arial" w:hAnsi="Arial"/>
                <w:b/>
                <w:sz w:val="18"/>
                <w:shd w:fill="FFFFFF" w:val="clear"/>
                <w:lang w:val="en-CA"/>
              </w:rPr>
              <w:t>and helps the Financial group whenever she can. Sherry is very personal with each other and is always trying to build a good working relationship.</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Sherry has not been given a leadership role at this time. She is still being trained at her current job responsibilities.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lang w:val="en-CA"/>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Sherry is new to the energy industry and needs to attend Enron training classes along with more group training before she is ready to anticipate</w:t>
            </w:r>
            <w:r>
              <w:rPr>
                <w:rFonts w:cs="Arial" w:ascii="Arial" w:hAnsi="Arial"/>
                <w:b/>
                <w:sz w:val="18"/>
                <w:shd w:fill="FFFFFF" w:val="clear"/>
                <w:lang w:val="en-CA"/>
              </w:rPr>
            </w:r>
          </w:p>
          <w:p>
            <w:pPr>
              <w:pStyle w:val="Normal"/>
              <w:rPr>
                <w:rFonts w:ascii="Arial" w:hAnsi="Arial" w:cs="Arial"/>
              </w:rPr>
            </w:pPr>
            <w:r>
              <w:rPr>
                <w:rFonts w:cs="Arial" w:ascii="Arial" w:hAnsi="Arial"/>
                <w:b/>
                <w:sz w:val="18"/>
                <w:shd w:fill="FFFFFF" w:val="clear"/>
                <w:lang w:val="en-CA"/>
              </w:rPr>
              <w:t>risk needs and solutions. She is currently scheduling these classes.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rPr>
            </w:pPr>
            <w:r>
              <w:fldChar w:fldCharType="begin">
                <w:ffData>
                  <w:name w:val="Text1 Copy 5"/>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t>Sherry needs further  on the ERMS system and Energy industry.</w:t>
            </w:r>
            <w:r>
              <w:rPr>
                <w:rFonts w:cs="Arial" w:ascii="Arial" w:hAnsi="Arial"/>
                <w:b/>
                <w:sz w:val="18"/>
                <w:shd w:fill="FFFFFF" w:val="clear"/>
              </w:rPr>
            </w:r>
          </w:p>
          <w:p>
            <w:pPr>
              <w:pStyle w:val="Normal"/>
              <w:rPr>
                <w:rFonts w:ascii="Arial" w:hAnsi="Arial" w:cs="Arial"/>
                <w:b/>
                <w:sz w:val="18"/>
                <w:shd w:fill="FFFFFF" w:val="clear"/>
                <w:lang w:val="en-CA"/>
              </w:rPr>
            </w:pPr>
            <w:r>
              <w:rPr>
                <w:rFonts w:cs="Arial" w:ascii="Arial" w:hAnsi="Arial"/>
                <w:b/>
                <w:sz w:val="18"/>
                <w:shd w:fill="FFFFFF" w:val="clear"/>
                <w:lang w:val="en-CA"/>
              </w:rPr>
              <w:t>Sherry is always asking good indepth questions to learn the proccess.</w:t>
            </w:r>
          </w:p>
          <w:p>
            <w:pPr>
              <w:pStyle w:val="Normal"/>
              <w:rPr>
                <w:rFonts w:ascii="Arial" w:hAnsi="Arial" w:cs="Arial"/>
              </w:rPr>
            </w:pPr>
            <w:r>
              <w:rPr>
                <w:rFonts w:cs="Arial" w:ascii="Arial" w:hAnsi="Arial"/>
                <w:b/>
                <w:sz w:val="18"/>
                <w:shd w:fill="FFFFFF" w:val="clear"/>
              </w:rPr>
              <w:t>She is willing to learn and is always going in the right direction.</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Sherry has only been on the job a short time and needs to go though more training and industry / risk process classes.</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Sherry reports to me.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pPr>
            <w:r>
              <w:fldChar w:fldCharType="begin">
                <w:ffData>
                  <w:name w:val="Text1 Copy 8"/>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1</w:t>
            </w:r>
            <w:r>
              <w:rPr>
                <w:rFonts w:cs="Arial" w:ascii="Arial" w:hAnsi="Arial"/>
                <w:b/>
                <w:sz w:val="18"/>
                <w:shd w:fill="FFFFFF" w:val="clear"/>
                <w:lang w:val="en-CA"/>
              </w:rPr>
              <w:t>. Teamwork</w:t>
            </w:r>
          </w:p>
          <w:p>
            <w:pPr>
              <w:pStyle w:val="Normal"/>
              <w:rPr>
                <w:rFonts w:ascii="Arial" w:hAnsi="Arial" w:cs="Arial"/>
                <w:b/>
                <w:sz w:val="18"/>
                <w:shd w:fill="FFFFFF" w:val="clear"/>
                <w:lang w:val="en-CA"/>
              </w:rPr>
            </w:pPr>
            <w:r>
              <w:rPr>
                <w:rFonts w:cs="Arial" w:ascii="Arial" w:hAnsi="Arial"/>
                <w:b/>
                <w:sz w:val="18"/>
                <w:shd w:fill="FFFFFF" w:val="clear"/>
                <w:lang w:val="en-CA"/>
              </w:rPr>
              <w:t>2. Eagar to help</w:t>
            </w:r>
          </w:p>
          <w:p>
            <w:pPr>
              <w:pStyle w:val="Normal"/>
              <w:rPr>
                <w:rFonts w:ascii="Arial" w:hAnsi="Arial" w:cs="Arial"/>
              </w:rPr>
            </w:pPr>
            <w:r>
              <w:rPr>
                <w:rFonts w:cs="Arial" w:ascii="Arial" w:hAnsi="Arial"/>
                <w:b/>
                <w:sz w:val="18"/>
                <w:shd w:fill="FFFFFF" w:val="clear"/>
                <w:lang w:val="en-CA"/>
              </w:rPr>
              <w:t>3. Desire to get the job done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lang w:val="en-CA"/>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1. Energy / Risk Classes</w:t>
            </w:r>
            <w:r>
              <w:rPr>
                <w:rFonts w:cs="Arial" w:ascii="Arial" w:hAnsi="Arial"/>
                <w:b/>
                <w:sz w:val="18"/>
                <w:shd w:fill="FFFFFF" w:val="clear"/>
                <w:lang w:val="en-CA"/>
              </w:rPr>
            </w:r>
          </w:p>
          <w:p>
            <w:pPr>
              <w:pStyle w:val="Normal"/>
              <w:rPr>
                <w:rFonts w:ascii="Arial" w:hAnsi="Arial" w:cs="Arial"/>
                <w:b/>
                <w:sz w:val="18"/>
                <w:shd w:fill="FFFFFF" w:val="clear"/>
                <w:lang w:val="en-CA"/>
              </w:rPr>
            </w:pPr>
            <w:r>
              <w:rPr>
                <w:rFonts w:cs="Arial" w:ascii="Arial" w:hAnsi="Arial"/>
                <w:b/>
                <w:sz w:val="18"/>
                <w:shd w:fill="FFFFFF" w:val="clear"/>
                <w:lang w:val="en-CA"/>
              </w:rPr>
              <w:t>2. Training on ERMS Systems "Reports &amp; Calcs"</w:t>
            </w:r>
          </w:p>
          <w:p>
            <w:pPr>
              <w:pStyle w:val="Normal"/>
              <w:rPr>
                <w:rFonts w:ascii="Arial" w:hAnsi="Arial" w:cs="Arial"/>
                <w:b/>
                <w:sz w:val="18"/>
                <w:shd w:fill="FFFFFF" w:val="clear"/>
                <w:lang w:val="en-CA"/>
              </w:rPr>
            </w:pPr>
            <w:r>
              <w:rPr>
                <w:rFonts w:cs="Arial" w:ascii="Arial" w:hAnsi="Arial"/>
                <w:b/>
                <w:sz w:val="18"/>
                <w:shd w:fill="FFFFFF" w:val="clear"/>
                <w:lang w:val="en-CA"/>
              </w:rPr>
              <w:t>3. Additional instruction on Financial Risk Daily proccess</w:t>
            </w:r>
          </w:p>
          <w:p>
            <w:pPr>
              <w:pStyle w:val="Normal"/>
              <w:rPr>
                <w:rFonts w:ascii="Arial" w:hAnsi="Arial" w:cs="Arial"/>
              </w:rPr>
            </w:pPr>
            <w:r>
              <w:rPr>
                <w:rFonts w:cs="Arial" w:ascii="Arial" w:hAnsi="Arial"/>
                <w:b/>
                <w:sz w:val="18"/>
                <w:shd w:fill="FFFFFF" w:val="clear"/>
                <w:lang w:val="en-CA"/>
              </w:rPr>
              <w:t>4. Effective Risk Communication</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rPr>
      </w:pPr>
      <w:r>
        <w:rPr>
          <w:rFonts w:cs="Arial" w:ascii="Arial" w:hAnsi="Arial"/>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650240"/>
                <wp:effectExtent l="0" t="0" r="0" b="0"/>
                <wp:wrapNone/>
                <wp:docPr id="4" name="Frame2"/>
                <a:graphic xmlns:a="http://schemas.openxmlformats.org/drawingml/2006/main">
                  <a:graphicData uri="http://schemas.microsoft.com/office/word/2010/wordprocessingShape">
                    <wps:wsp>
                      <wps:cNvSpPr txBox="1"/>
                      <wps:spPr>
                        <a:xfrm>
                          <a:off x="0" y="0"/>
                          <a:ext cx="3940810" cy="650240"/>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51.2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2001-01-19T13:14:00Z</dcterms:created>
  <dc:creator>Performance Management</dc:creator>
  <dc:description/>
  <dc:language>en-CA</dc:language>
  <cp:lastModifiedBy>Dutch Quigley</cp:lastModifiedBy>
  <cp:lastPrinted>2000-10-31T11:18:00Z</cp:lastPrinted>
  <dcterms:modified xsi:type="dcterms:W3CDTF">2001-01-19T13:14:00Z</dcterms:modified>
  <cp:revision>2</cp:revision>
  <dc:subject/>
  <dc:title> </dc:title>
</cp:coreProperties>
</file>